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LegalEyebrow"/>
        <w:widowControl/>
      </w:pPr>
      <w:r>
        <w:t>VETIAX  /  DOCUMENTACIÓN LEGAL</w:t>
      </w:r>
    </w:p>
    <w:p>
      <w:pPr>
        <w:pStyle w:val="Title"/>
        <w:widowControl/>
      </w:pPr>
      <w:r>
        <w:t>Términos y Condiciones de Uso</w:t>
      </w:r>
    </w:p>
    <w:p>
      <w:pPr>
        <w:pStyle w:val="Subtitle"/>
        <w:widowControl/>
      </w:pPr>
      <w:r>
        <w:t>Versión beta para la República Argentina</w:t>
      </w:r>
    </w:p>
    <w:p>
      <w:pPr>
        <w:pStyle w:val="LegalMetadata"/>
        <w:widowControl/>
      </w:pPr>
      <w:r>
        <w:rPr>
          <w:b/>
        </w:rPr>
        <w:t xml:space="preserve">Responsable: </w:t>
      </w:r>
      <w:r>
        <w:t>Nordenpet S.R.L. · CUIT 33-71609455-9</w:t>
      </w:r>
    </w:p>
    <w:p>
      <w:pPr>
        <w:pStyle w:val="LegalMetadata"/>
        <w:widowControl/>
      </w:pPr>
      <w:r>
        <w:rPr>
          <w:b/>
        </w:rPr>
        <w:t xml:space="preserve">Vigencia: </w:t>
      </w:r>
      <w:r>
        <w:t>31 de agosto de 2026</w:t>
      </w:r>
    </w:p>
    <w:p>
      <w:pPr>
        <w:pStyle w:val="LegalMetadata"/>
        <w:widowControl/>
      </w:pPr>
      <w:r>
        <w:rPr>
          <w:b/>
        </w:rPr>
        <w:t xml:space="preserve">Versión: </w:t>
      </w:r>
      <w:r>
        <w:t>vetia-legal-v1.4-beta-ar-2026-08-31</w:t>
      </w:r>
    </w:p>
    <w:p>
      <w:pPr>
        <w:pStyle w:val="LegalMetadata"/>
        <w:widowControl/>
      </w:pPr>
      <w:r>
        <w:rPr>
          <w:b/>
        </w:rPr>
        <w:t xml:space="preserve">Ámbito: </w:t>
      </w:r>
      <w:r>
        <w:t>República Argentina</w:t>
      </w:r>
    </w:p>
    <w:p>
      <w:pPr>
        <w:spacing w:before="200" w:after="240"/>
        <w:ind w:left="259" w:right="259"/>
        <w:shd w:fill="F4F6F9"/>
        <w:widowControl/>
        <w:pBdr>
          <w:left w:val="single" w:sz="14" w:space="10" w:color="2E74B5"/>
        </w:pBdr>
      </w:pPr>
      <w:r>
        <w:rPr>
          <w:b/>
          <w:color w:val="1F4D78"/>
        </w:rPr>
        <w:t>Estos Términos regulan el acceso y uso de VetIAx, una herramienta digital de orientación informativa para responsables de perros y gatos. La aceptación crea un acuerdo entre la persona usuaria y Nordenpet S.R.L.</w:t>
      </w:r>
    </w:p>
    <w:p>
      <w:pPr>
        <w:pStyle w:val="Heading1"/>
        <w:widowControl/>
      </w:pPr>
      <w:r>
        <w:t>Puntos esenciales</w:t>
      </w:r>
    </w:p>
    <w:p>
      <w:pPr>
        <w:spacing w:after="80" w:line="300" w:lineRule="auto"/>
        <w:widowControl/>
        <w:numPr>
          <w:ilvl w:val="0"/>
          <w:numId w:val="10"/>
        </w:numPr>
      </w:pPr>
      <w:r>
        <w:t>VetIAx no es una guardia, clínica, consulta, diagnóstico, prescripción ni tratamiento veterinario.</w:t>
      </w:r>
    </w:p>
    <w:p>
      <w:pPr>
        <w:spacing w:after="80" w:line="300" w:lineRule="auto"/>
        <w:widowControl/>
        <w:numPr>
          <w:ilvl w:val="0"/>
          <w:numId w:val="10"/>
        </w:numPr>
      </w:pPr>
      <w:r>
        <w:t>La beta es gratuita y está destinada exclusivamente a personas mayores de 18 años residentes en Argentina.</w:t>
      </w:r>
    </w:p>
    <w:p>
      <w:pPr>
        <w:spacing w:after="80" w:line="300" w:lineRule="auto"/>
        <w:widowControl/>
        <w:numPr>
          <w:ilvl w:val="0"/>
          <w:numId w:val="10"/>
        </w:numPr>
      </w:pPr>
      <w:r>
        <w:t>La persona usuaria puede dar de baja el servicio y solicitar la eliminación de su cuenta por medios electrónicos.</w:t>
      </w:r>
    </w:p>
    <w:p w:rsidRDefault="00000000">
      <w:pPr>
        <w:pStyle w:val="Heading1"/>
        <w:widowControl/>
      </w:pPr>
      <w:r>
        <w:t>1. Responsable del servicio</w:t>
      </w:r>
    </w:p>
    <w:p>
      <w:pPr>
        <w:widowControl/>
      </w:pPr>
      <w:r>
        <w:t>VetIAx es operada por Nordenpet S.R.L., CUIT 33-71609455-9, con domicilio en Manuel Belzu 4277, Vicente López (B1605 / 1605), Provincia de Buenos Aires, Argentina. El correo de contacto contractual, de privacidad y de atención es vetia.contacto@gmail.com.</w:t>
      </w:r>
    </w:p>
    <w:p>
      <w:pPr>
        <w:widowControl/>
      </w:pPr>
      <w:r>
        <w:t>En estos Términos, “VetIAx”, “Nordenpet”, “nosotros” o “el servicio” se refieren a la plataforma y a su responsable; “usuario” se refiere a la persona que crea una cuenta o utiliza sus funciones.</w:t>
      </w:r>
    </w:p>
    <w:p w:rsidRDefault="00000000">
      <w:pPr>
        <w:pStyle w:val="Heading1"/>
        <w:widowControl/>
      </w:pPr>
      <w:r>
        <w:t>2. Aceptación y formación del acuerdo</w:t>
      </w:r>
    </w:p>
    <w:p>
      <w:pPr>
        <w:widowControl/>
      </w:pPr>
      <w:r>
        <w:t>Al marcar la casilla de aceptación y crear una cuenta, el usuario manifiesta haber podido leer estos Términos y la Política de Privacidad, comprender su alcance y aceptarlos mediante un acto electrónico. VetIAx registra la versión aceptada, la cuenta asociada y la fecha de aceptación.</w:t>
      </w:r>
    </w:p>
    <w:p>
      <w:pPr>
        <w:widowControl/>
      </w:pPr>
      <w:r>
        <w:t>La Política de Cookies y Tecnologías Publicitarias integra la información de privacidad, pero las cookies opcionales se aceptan, rechazan o configuran por separado. Si el usuario no acepta las condiciones esenciales, no debe crear una cuenta ni utilizar las funciones que requieren identificación.</w:t>
      </w:r>
    </w:p>
    <w:p w:rsidRDefault="00000000">
      <w:pPr>
        <w:pStyle w:val="Heading1"/>
        <w:widowControl/>
      </w:pPr>
      <w:r>
        <w:t>3. Alcance territorial, edad y uso personal</w:t>
      </w:r>
    </w:p>
    <w:p>
      <w:pPr>
        <w:widowControl/>
      </w:pPr>
      <w:r>
        <w:t>Esta versión beta se ofrece únicamente para uso en la República Argentina. No está dirigida a personas ubicadas en otros países ni pretende cumplir marcos jurídicos extranjeros.</w:t>
      </w:r>
    </w:p>
    <w:p>
      <w:pPr>
        <w:widowControl/>
      </w:pPr>
      <w:r>
        <w:t>El servicio está destinado a personas humanas mayores de 18 años que actúan como responsables de una mascota. La cuenta es personal y no puede utilizarse para suplantar identidades, prestar servicios veterinarios a terceros, operar una clínica ni realizar explotación comercial no autorizada.</w:t>
      </w:r>
    </w:p>
    <w:p w:rsidRDefault="00000000">
      <w:pPr>
        <w:pStyle w:val="Heading1"/>
        <w:widowControl/>
      </w:pPr>
      <w:r>
        <w:t>4. Naturaleza de VetIAx y límites veterinarios</w:t>
      </w:r>
    </w:p>
    <w:p>
      <w:pPr>
        <w:widowControl/>
      </w:pPr>
      <w:r>
        <w:t>VetIAx organiza la información ingresada por el usuario, formula preguntas guiadas, identifica signos informados y muestra un nivel orientativo de atención junto con explicaciones generales. El resultado depende de la exactitud y suficiencia de la información proporcionada.</w:t>
      </w:r>
    </w:p>
    <w:p>
      <w:pPr>
        <w:widowControl/>
      </w:pPr>
      <w:r>
        <w:t>VetIAx no examina físicamente al animal, no mide signos vitales, no accede a estudios, no observa la evolución en tiempo real y no puede detectar información omitida. Por ello, el servicio no constituye una consulta veterinaria, telemedicina veterinaria, diagnóstico, pronóstico, receta, indicación farmacológica, tratamiento, historia clínica oficial ni relación veterinario-cliente-paciente.</w:t>
      </w:r>
    </w:p>
    <w:p>
      <w:pPr>
        <w:widowControl/>
      </w:pPr>
      <w:r>
        <w:t>Ningún resultado garantiza que una mascota esté fuera de peligro. El usuario no debe usar VetIAx como única base para demorar o evitar atención veterinaria.</w:t>
      </w:r>
    </w:p>
    <w:p w:rsidRDefault="00000000">
      <w:pPr>
        <w:pStyle w:val="Heading1"/>
        <w:widowControl/>
      </w:pPr>
      <w:r>
        <w:t>5. Emergencias y deber de cuidado</w:t>
      </w:r>
    </w:p>
    <w:p>
      <w:pPr>
        <w:widowControl/>
      </w:pPr>
      <w:r>
        <w:t>VetIAx no es un servicio de emergencias, no monitorea consultas en tiempo real y no contacta automáticamente a veterinarios, guardias ni autoridades.</w:t>
      </w:r>
    </w:p>
    <w:p>
      <w:pPr>
        <w:widowControl/>
      </w:pPr>
      <w:r>
        <w:t>Ante dificultad respiratoria, pérdida de conocimiento, convulsiones prolongadas o repetidas, sangrado importante, intoxicación, imposibilidad de orinar, traumatismo grave, dolor intenso, deterioro rápido o cualquier situación que el usuario considere urgente, se debe buscar atención veterinaria inmediata sin esperar un resultado de VetIAx.</w:t>
      </w:r>
    </w:p>
    <w:p>
      <w:pPr>
        <w:widowControl/>
      </w:pPr>
      <w:r>
        <w:t>El usuario conserva en todo momento la responsabilidad de observar a la mascota, adoptar decisiones prudentes y solicitar asistencia presencial cuando corresponda.</w:t>
      </w:r>
    </w:p>
    <w:p w:rsidRDefault="00000000">
      <w:pPr>
        <w:pStyle w:val="Heading1"/>
        <w:widowControl/>
      </w:pPr>
      <w:r>
        <w:t>6. Condición beta y disponibilidad</w:t>
      </w:r>
    </w:p>
    <w:p>
      <w:pPr>
        <w:widowControl/>
      </w:pPr>
      <w:r>
        <w:t>VetIAx se encuentra en versión beta. Puede contener errores, interrupciones, resultados incompletos, cambios de interfaz o funciones todavía no disponibles. Nordenpet puede corregir, modificar, limitar o retirar funciones para mejorar seguridad, confiabilidad o cumplimiento normativo.</w:t>
      </w:r>
    </w:p>
    <w:p>
      <w:pPr>
        <w:widowControl/>
      </w:pPr>
      <w:r>
        <w:t>La beta se ofrece actualmente sin cargo. Cualquier función paga futura deberá informar previamente precio, alcance y condiciones, y requerirá una contratación separada; no se generarán cargos automáticos por el uso de esta versión.</w:t>
      </w:r>
    </w:p>
    <w:p w:rsidRDefault="00000000">
      <w:pPr>
        <w:pStyle w:val="Heading1"/>
        <w:widowControl/>
      </w:pPr>
      <w:r>
        <w:t>7. Procesamiento automatizado</w:t>
      </w:r>
    </w:p>
    <w:p>
      <w:pPr>
        <w:widowControl/>
      </w:pPr>
      <w:r>
        <w:t>La versión vigente utiliza reglas y protocolos automatizados para ordenar respuestas y generar orientación. También prevé el uso de Gemini Developer API de Google LLC, en su nivel gratuito, exclusivamente para extraer y estructurar información del relato del usuario. Una salida automatizada puede ser inexacta, no contemplar casos atípicos o verse afectada por información ambigua.</w:t>
      </w:r>
    </w:p>
    <w:p>
      <w:pPr>
        <w:widowControl/>
      </w:pPr>
      <w:r>
        <w:t>Cuando la función de Gemini esté técnicamente habilitada, VetIAx podrá enviar a Google el relato de la consulta y el contexto limitado de la mascota necesario para esa tarea. En el nivel gratuito, Google informa que puede utilizar las entradas y salidas para proporcionar, mejorar y desarrollar sus productos, servicios y tecnologías de aprendizaje automático, y que revisores humanos pueden leer, anotar y procesar esa información. Por ello, el usuario no debe incluir datos personales humanos innecesarios, información sensible, confidencial ni datos de terceros.</w:t>
      </w:r>
    </w:p>
    <w:p>
      <w:pPr>
        <w:widowControl/>
      </w:pPr>
      <w:r>
        <w:t>Gemini no determina diagnósticos, tratamientos, medicamentos ni niveles de urgencia. Los sistemas automatizados de IA no pueden reducir ni sustituir una prioridad de atención determinada por las reglas de seguridad del protocolo; ante indisponibilidad, error o falta de configuración, VetIAx conserva su funcionamiento mediante reglas determinísticas.</w:t>
      </w:r>
    </w:p>
    <w:p w:rsidRDefault="00000000">
      <w:pPr>
        <w:pStyle w:val="Heading1"/>
        <w:widowControl/>
      </w:pPr>
      <w:r>
        <w:t>8. Cuenta y seguridad</w:t>
      </w:r>
    </w:p>
    <w:p>
      <w:pPr>
        <w:widowControl/>
      </w:pPr>
      <w:r>
        <w:t>El usuario debe proporcionar un nombre y correo válidos, elegir una contraseña robusta, mantener sus credenciales bajo reserva y cerrar sesión en dispositivos compartidos. Debe informar sin demora cualquier acceso no autorizado.</w:t>
      </w:r>
    </w:p>
    <w:p>
      <w:pPr>
        <w:widowControl/>
      </w:pPr>
      <w:r>
        <w:t>Nordenpet puede bloquear temporalmente intentos de acceso, cerrar sesiones o suspender una cuenta cuando resulte razonablemente necesario para prevenir abuso, fraude, ataques, incumplimientos o riesgos para el servicio. Las funciones de recuperación de contraseña y verificación en dos pasos sólo se mostrarán como disponibles cuando exista un proveedor seguro configurado.</w:t>
      </w:r>
    </w:p>
    <w:p w:rsidRDefault="00000000">
      <w:pPr>
        <w:pStyle w:val="Heading1"/>
        <w:widowControl/>
      </w:pPr>
      <w:r>
        <w:t>9. Información y contenidos aportados por el usuario</w:t>
      </w:r>
    </w:p>
    <w:p>
      <w:pPr>
        <w:widowControl/>
      </w:pPr>
      <w:r>
        <w:t>El usuario declara que está autorizado para cargar información y fotografías de la mascota y que los datos aportados son honestos según su conocimiento. Debe corregir información desactualizada o errónea cuando pueda afectar una orientación.</w:t>
      </w:r>
    </w:p>
    <w:p>
      <w:pPr>
        <w:widowControl/>
      </w:pPr>
      <w:r>
        <w:t>No debe cargar datos personales de terceros, imágenes de personas, documentación, datos bancarios, contraseñas, información humana sensible ni contenido ilícito, ofensivo, malicioso o que infrinja derechos ajenos.</w:t>
      </w:r>
    </w:p>
    <w:p>
      <w:pPr>
        <w:widowControl/>
      </w:pPr>
      <w:r>
        <w:t>El usuario conserva sus derechos sobre los contenidos que carga y concede a Nordenpet una autorización limitada, no exclusiva y revocable mediante eliminación, para almacenarlos, procesarlos y mostrarlos exclusivamente con el fin de prestar y proteger VetIAx.</w:t>
      </w:r>
    </w:p>
    <w:p w:rsidRDefault="00000000">
      <w:pPr>
        <w:pStyle w:val="Heading1"/>
        <w:widowControl/>
      </w:pPr>
      <w:r>
        <w:t>10. Usos prohibidos</w:t>
      </w:r>
    </w:p>
    <w:p>
      <w:pPr>
        <w:widowControl/>
      </w:pPr>
      <w:r>
        <w:t>Queda prohibido interferir con la seguridad, el funcionamiento o la disponibilidad del servicio; intentar acceder a cuentas o datos ajenos; automatizar consultas de forma abusiva; introducir código malicioso; extraer masivamente contenidos; eludir límites; utilizar resultados para diagnosticar, prescribir o tratar animales de terceros; o presentar a VetIAx como sustituto de atención veterinaria.</w:t>
      </w:r>
    </w:p>
    <w:p>
      <w:pPr>
        <w:widowControl/>
      </w:pPr>
      <w:r>
        <w:t>Nordenpet puede adoptar medidas proporcionadas, conservar evidencia técnica cuando resulte legalmente necesario y comunicar hechos a autoridades competentes ante sospechas razonables de actividad ilícita.</w:t>
      </w:r>
    </w:p>
    <w:p w:rsidRDefault="00000000">
      <w:pPr>
        <w:pStyle w:val="Heading1"/>
        <w:widowControl/>
      </w:pPr>
      <w:r>
        <w:t>11. Propiedad intelectual</w:t>
      </w:r>
    </w:p>
    <w:p>
      <w:pPr>
        <w:widowControl/>
      </w:pPr>
      <w:r>
        <w:t>La marca VetIAx, el diseño, los textos propios, el software, los protocolos, la selección y estructura de contenidos y los demás elementos del servicio pertenecen a Nordenpet o se utilizan con autorización. El acceso no transfiere derechos de propiedad intelectual.</w:t>
      </w:r>
    </w:p>
    <w:p>
      <w:pPr>
        <w:widowControl/>
      </w:pPr>
      <w:r>
        <w:t>El usuario puede guardar y utilizar sus resultados para fines personales y para compartirlos con quien atienda a su mascota, sin atribuirles carácter de diagnóstico ni alterar su sentido. No puede revender, sublicenciar, copiar sistemáticamente o explotar comercialmente el servicio sin autorización escrita.</w:t>
      </w:r>
    </w:p>
    <w:p w:rsidRDefault="00000000">
      <w:pPr>
        <w:pStyle w:val="Heading1"/>
        <w:widowControl/>
      </w:pPr>
      <w:r>
        <w:t>12. Responsabilidad y asignación razonable de riesgos</w:t>
      </w:r>
    </w:p>
    <w:p>
      <w:pPr>
        <w:widowControl/>
      </w:pPr>
      <w:r>
        <w:t>Nordenpet asume las obligaciones que le imponen las normas argentinas aplicables y no excluye responsabilidades que legalmente no puedan limitarse. Ninguna cláusula debe interpretarse como renuncia del usuario a derechos de consumidor ni como exoneración por dolo, culpa grave o incumplimiento de deberes legales.</w:t>
      </w:r>
    </w:p>
    <w:p>
      <w:pPr>
        <w:widowControl/>
      </w:pPr>
      <w:r>
        <w:t>Dentro de los límites permitidos por la ley, Nordenpet no responde por consecuencias que resulten exclusivamente de datos falsos, incompletos u omitidos por el usuario; del uso del servicio fuera de su alcance; de ignorar advertencias de urgencia; de demorar atención presencial; del uso por terceros no autorizados; o de hechos externos imprevisibles e inevitables.</w:t>
      </w:r>
    </w:p>
    <w:p>
      <w:pPr>
        <w:widowControl/>
      </w:pPr>
      <w:r>
        <w:t>La condición beta, la falta de examen físico y la naturaleza orientativa constituyen características esenciales informadas del servicio, no garantías de resultado clínico.</w:t>
      </w:r>
    </w:p>
    <w:p w:rsidRDefault="00000000">
      <w:pPr>
        <w:pStyle w:val="Heading1"/>
        <w:widowControl/>
      </w:pPr>
      <w:r>
        <w:t>13. Privacidad, cookies y publicidad</w:t>
      </w:r>
    </w:p>
    <w:p>
      <w:pPr>
        <w:widowControl/>
      </w:pPr>
      <w:r>
        <w:t>El tratamiento de datos personales se describe en la Política de Privacidad y en la Política de Cookies y Tecnologías Publicitarias de VetIAx. El usuario puede acceder a su centro de privacidad, exportar información, corregir datos, configurar cookies, eliminar fotografías o contenidos y solicitar la baja de su cuenta.</w:t>
      </w:r>
    </w:p>
    <w:p>
      <w:pPr>
        <w:widowControl/>
      </w:pPr>
      <w:r>
        <w:t>VetIAx puede financiar el servicio mediante publicidad de Google AdSense u otros proveedores informados. Los anuncios pueden aparecer en cualquier sección del servicio, incluyendo inicio, consultas, perfiles, historiales, resultados, contenidos informativos y páginas de cuenta, siempre con una implementación compatible con las políticas del proveedor y la normativa aplicable.</w:t>
      </w:r>
    </w:p>
    <w:p>
      <w:pPr>
        <w:widowControl/>
      </w:pPr>
      <w:r>
        <w:t>Nordenpet no vende ni alquila bases de usuarios, mascotas o consultas. Las tecnologías publicitarias opcionales se administran mediante controles específicos y no se consideran aceptadas por el solo hecho de crear una cuenta o aceptar estos Términos.</w:t>
      </w:r>
    </w:p>
    <w:p w:rsidRDefault="00000000">
      <w:pPr>
        <w:pStyle w:val="Heading1"/>
        <w:widowControl/>
      </w:pPr>
      <w:r>
        <w:t>14. Baja, revocación y eliminación de cuenta</w:t>
      </w:r>
    </w:p>
    <w:p>
      <w:pPr>
        <w:widowControl/>
      </w:pPr>
      <w:r>
        <w:t>El usuario puede dejar de usar VetIAx en cualquier momento. La baja puede solicitarse desde “Mi cuenta &gt; Privacidad y seguridad &gt; Eliminar la cuenta”, mediante el enlace público “Botón de baja de servicio” o por correo a vetia.contacto@gmail.com.</w:t>
      </w:r>
    </w:p>
    <w:p>
      <w:pPr>
        <w:widowControl/>
      </w:pPr>
      <w:r>
        <w:t>La solicitud electrónica revoca el acceso de la cuenta y activa el proceso de supresión conforme la Política de Privacidad. Al tratarse de una beta gratuita, no existen pagos ni importes que reintegrar.</w:t>
      </w:r>
    </w:p>
    <w:p>
      <w:pPr>
        <w:widowControl/>
      </w:pPr>
      <w:r>
        <w:t>Sin perjuicio de que el servicio es gratuito, el usuario conserva los derechos irrenunciables de rescisión y revocación reconocidos por la Ley 24.240 y el Código Civil y Comercial cuando resulten aplicables.</w:t>
      </w:r>
    </w:p>
    <w:p w:rsidRDefault="00000000">
      <w:pPr>
        <w:pStyle w:val="Heading1"/>
        <w:widowControl/>
      </w:pPr>
      <w:r>
        <w:t>15. Modificaciones</w:t>
      </w:r>
    </w:p>
    <w:p>
      <w:pPr>
        <w:widowControl/>
      </w:pPr>
      <w:r>
        <w:t>Nordenpet puede actualizar estos Términos por cambios del servicio, riesgos, proveedores o normativa. La versión, fecha y texto vigente permanecerán publicados.</w:t>
      </w:r>
    </w:p>
    <w:p>
      <w:pPr>
        <w:widowControl/>
      </w:pPr>
      <w:r>
        <w:t>Cuando un cambio sea sustancial, afecte finalidades de datos, límites relevantes o derechos del usuario, VetIAx requerirá una nueva aceptación antes de continuar con las funciones esenciales. Las modificaciones no tendrán efecto retroactivo en perjuicio del consumidor.</w:t>
      </w:r>
    </w:p>
    <w:p w:rsidRDefault="00000000">
      <w:pPr>
        <w:pStyle w:val="Heading1"/>
        <w:widowControl/>
      </w:pPr>
      <w:r>
        <w:t>16. Ley aplicable y jurisdicción</w:t>
      </w:r>
    </w:p>
    <w:p>
      <w:pPr>
        <w:widowControl/>
      </w:pPr>
      <w:r>
        <w:t>Estos Términos se rigen por las leyes de la República Argentina. Toda interpretación debe respetar la Ley 24.240, el Código Civil y Comercial y las demás normas de orden público aplicables.</w:t>
      </w:r>
    </w:p>
    <w:p>
      <w:pPr>
        <w:widowControl/>
      </w:pPr>
      <w:r>
        <w:t>Cualquier referencia a tribunales de la Provincia de Buenos Aires se entiende sin restringir la competencia que la normativa de consumo reconozca al usuario, incluido el derecho a accionar ante la jurisdicción de su domicilio cuando corresponda. Antes de iniciar un conflicto, las partes pueden intentar una solución por el canal de contacto, sin que ello sea requisito para ejercer derechos.</w:t>
      </w:r>
    </w:p>
    <w:p w:rsidRDefault="00000000">
      <w:pPr>
        <w:pStyle w:val="Heading1"/>
        <w:widowControl/>
      </w:pPr>
      <w:r>
        <w:t>17. Contacto</w:t>
      </w:r>
    </w:p>
    <w:p>
      <w:pPr>
        <w:widowControl/>
      </w:pPr>
      <w:r>
        <w:t>Consultas, reclamos, pedidos de copia contractual y comunicaciones sobre estos Términos: vetia.contacto@gmail.com. Responsable: Nordenpet S.R.L., CUIT 33-71609455-9, Manuel Belzu 4277, Vicente López (B1605 / 1605), Provincia de Buenos Aires, Argentina.</w:t>
      </w:r>
    </w:p>
    <w:p>
      <w:pPr>
        <w:pStyle w:val="Heading1"/>
        <w:widowControl/>
      </w:pPr>
      <w:r>
        <w:t>Fuentes oficiales</w:t>
      </w:r>
    </w:p>
    <w:p>
      <w:pPr>
        <w:keepNext/>
        <w:widowControl/>
      </w:pPr>
      <w:r>
        <w:t>Normas, autoridades y políticas oficiales de proveedores utilizadas para esta versión.</w:t>
      </w:r>
    </w:p>
    <w:p>
      <w:pPr>
        <w:widowControl/>
        <w:numPr>
          <w:ilvl w:val="0"/>
          <w:numId w:val="10"/>
        </w:numPr>
      </w:pPr>
      <w:hyperlink r:id="rId11">
        <w:r>
          <w:rPr>
            <w:color w:val="2E74B5"/>
            <w:u w:val="single"/>
          </w:rPr>
          <w:t>Ley 24.240 de Defensa del Consumidor - texto actualizado</w:t>
        </w:r>
      </w:hyperlink>
    </w:p>
    <w:p>
      <w:pPr>
        <w:widowControl/>
        <w:numPr>
          <w:ilvl w:val="0"/>
          <w:numId w:val="10"/>
        </w:numPr>
      </w:pPr>
      <w:hyperlink r:id="rId12">
        <w:r>
          <w:rPr>
            <w:color w:val="2E74B5"/>
            <w:u w:val="single"/>
          </w:rPr>
          <w:t>Código Civil y Comercial de la Nación - Ley 26.994</w:t>
        </w:r>
      </w:hyperlink>
    </w:p>
    <w:p>
      <w:pPr>
        <w:widowControl/>
        <w:numPr>
          <w:ilvl w:val="0"/>
          <w:numId w:val="10"/>
        </w:numPr>
      </w:pPr>
      <w:hyperlink r:id="rId13">
        <w:r>
          <w:rPr>
            <w:color w:val="2E74B5"/>
            <w:u w:val="single"/>
          </w:rPr>
          <w:t>Disposición 954/2025 - Botón de arrepentimiento y baja de servicios</w:t>
        </w:r>
      </w:hyperlink>
    </w:p>
    <w:p>
      <w:pPr>
        <w:widowControl/>
        <w:numPr>
          <w:ilvl w:val="0"/>
          <w:numId w:val="10"/>
        </w:numPr>
      </w:pPr>
      <w:hyperlink r:id="rId14">
        <w:r>
          <w:rPr>
            <w:color w:val="2E74B5"/>
            <w:u w:val="single"/>
          </w:rPr>
          <w:t>Ley 25.506 de Firma Digital - texto actualizado</w:t>
        </w:r>
      </w:hyperlink>
    </w:p>
    <w:p>
      <w:pPr>
        <w:widowControl/>
        <w:numPr>
          <w:ilvl w:val="0"/>
          <w:numId w:val="10"/>
        </w:numPr>
      </w:pPr>
      <w:hyperlink r:id="rId15">
        <w:r>
          <w:rPr>
            <w:color w:val="2E74B5"/>
            <w:u w:val="single"/>
          </w:rPr>
          <w:t>Google - Términos Adicionales de Gemini API</w:t>
        </w:r>
      </w:hyperlink>
    </w:p>
    <w:p>
      <w:pPr>
        <w:spacing w:before="280"/>
        <w:ind w:left="259" w:right="259"/>
        <w:widowControl/>
        <w:shd w:fill="F4F6F9"/>
      </w:pPr>
      <w:r>
        <w:rPr>
          <w:b/>
          <w:color w:val="1F4D78"/>
        </w:rPr>
        <w:t>Contacto legal y de privacidad</w:t>
        <w:br/>
      </w:r>
      <w:r>
        <w:t>Nordenpet S.R.L. · CUIT 33-71609455-9</w:t>
        <w:br/>
        <w:t>Manuel Belzu 4277, Vicente López (B1605 / 1605), Provincia de Buenos Aires, Argentina</w:t>
        <w:br/>
      </w:r>
      <w:hyperlink r:id="rId16">
        <w:r>
          <w:rPr>
            <w:color w:val="2E74B5"/>
            <w:u w:val="single"/>
          </w:rPr>
          <w:t>vetia.contacto@gmail.com</w:t>
        </w:r>
      </w:hyperlink>
    </w:p>
    <w:sectPr w:rsidR="00FC693F" w:rsidRPr="0006063C" w:rsidSect="00034616">
      <w:headerReference w:type="default" r:id="rId9"/>
      <w:footerReference w:type="default" r:id="rId10"/>
      <w:pgSz w:w="12240" w:h="15840"/>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LegalFooter"/>
      <w:jc w:val="center"/>
    </w:pPr>
    <w:r>
      <w:t xml:space="preserve">Nordenpet S.R.L.  ·  Términos, Privacidad y Cookies Argentina · Beta v1.4  ·  Página </w:t>
    </w:r>
    <w:r>
      <w:fldChar w:fldCharType="begin"/>
      <w:instrText xml:space="preserve"> PAGE </w:instrText>
      <w:fldChar w:fldCharType="separate"/>
      <w:t>1</w: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LegalFooter"/>
      <w:jc w:val="right"/>
    </w:pPr>
    <w:r>
      <w:rPr>
        <w:b/>
        <w:color w:val="1F4D78"/>
      </w:rPr>
      <w:t>VetIAx  ·  Términos y Condiciones de Uso</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abstractNum w:abstractNumId="9">
    <w:multiLevelType w:val="singleLevel"/>
    <w:lvl w:ilvl="0">
      <w:start w:val="1"/>
      <w:numFmt w:val="bullet"/>
      <w:lvlText w:val="•"/>
      <w:lvlJc w:val="left"/>
      <w:pPr>
        <w:tabs>
          <w:tab w:val="num" w:pos="540"/>
        </w:tabs>
        <w:ind w:left="540" w:hanging="270"/>
      </w:pPr>
      <w:rPr>
        <w:rFonts w:ascii="Arial" w:hAnsi="Arial"/>
      </w:rPr>
    </w:lvl>
  </w:abstract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300" w:lineRule="auto"/>
    </w:pPr>
    <w:rPr>
      <w:rFonts w:ascii="Calibri" w:hAnsi="Calibri"/>
      <w:color w:val="243044"/>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60" w:after="200"/>
      <w:outlineLvl w:val="0"/>
    </w:pPr>
    <w:rPr>
      <w:rFonts w:asciiTheme="majorHAnsi" w:eastAsiaTheme="majorEastAsia" w:hAnsiTheme="majorHAnsi" w:cstheme="majorBidi" w:ascii="Calibri" w:hAnsi="Calibri"/>
      <w:b/>
      <w:bCs/>
      <w:color w:val="2E74B5"/>
      <w:sz w:val="32"/>
      <w:szCs w:val="28"/>
    </w:rPr>
  </w:style>
  <w:style w:type="paragraph" w:styleId="Heading2">
    <w:name w:val="heading 2"/>
    <w:basedOn w:val="Normal"/>
    <w:next w:val="Normal"/>
    <w:link w:val="Heading2Char"/>
    <w:uiPriority w:val="9"/>
    <w:unhideWhenUsed/>
    <w:qFormat/>
    <w:rsid w:val="00FC693F"/>
    <w:pPr>
      <w:keepNext/>
      <w:keepLines/>
      <w:spacing w:before="280" w:after="140"/>
      <w:outlineLvl w:val="1"/>
    </w:pPr>
    <w:rPr>
      <w:rFonts w:asciiTheme="majorHAnsi" w:eastAsiaTheme="majorEastAsia" w:hAnsiTheme="majorHAnsi" w:cstheme="majorBidi" w:ascii="Calibri" w:hAnsi="Calibri"/>
      <w:b/>
      <w:bCs/>
      <w:color w:val="2E74B5"/>
      <w:sz w:val="26"/>
      <w:szCs w:val="26"/>
    </w:rPr>
  </w:style>
  <w:style w:type="paragraph" w:styleId="Heading3">
    <w:name w:val="heading 3"/>
    <w:basedOn w:val="Normal"/>
    <w:next w:val="Normal"/>
    <w:link w:val="Heading3Char"/>
    <w:uiPriority w:val="9"/>
    <w:unhideWhenUsed/>
    <w:qFormat/>
    <w:rsid w:val="00FC693F"/>
    <w:pPr>
      <w:keepNext/>
      <w:keepLines/>
      <w:spacing w:before="200" w:after="100"/>
      <w:outlineLvl w:val="2"/>
    </w:pPr>
    <w:rPr>
      <w:rFonts w:asciiTheme="majorHAnsi" w:eastAsiaTheme="majorEastAsia" w:hAnsiTheme="majorHAnsi" w:cstheme="majorBidi" w:ascii="Calibri" w:hAnsi="Calibri"/>
      <w:b/>
      <w:bCs/>
      <w:color w:val="1F4D78"/>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Next/>
      <w:pBdr>
        <w:bottom w:val="single" w:sz="8" w:space="4" w:color="4F81BD" w:themeColor="accent1"/>
      </w:pBdr>
      <w:spacing w:after="200" w:line="240" w:lineRule="auto" w:before="0"/>
      <w:contextualSpacing/>
    </w:pPr>
    <w:rPr>
      <w:rFonts w:asciiTheme="majorHAnsi" w:eastAsiaTheme="majorEastAsia" w:hAnsiTheme="majorHAnsi" w:cstheme="majorBidi" w:ascii="Calibri" w:hAnsi="Calibri"/>
      <w:b/>
      <w:color w:val="243044"/>
      <w:spacing w:val="5"/>
      <w:kern w:val="28"/>
      <w:sz w:val="56"/>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keepNext/>
      <w:numPr>
        <w:ilvl w:val="1"/>
      </w:numPr>
      <w:spacing w:before="0" w:after="240"/>
    </w:pPr>
    <w:rPr>
      <w:rFonts w:asciiTheme="majorHAnsi" w:eastAsiaTheme="majorEastAsia" w:hAnsiTheme="majorHAnsi" w:cstheme="majorBidi" w:ascii="Calibri" w:hAnsi="Calibri"/>
      <w:b w:val="0"/>
      <w:i/>
      <w:iCs/>
      <w:color w:val="657186"/>
      <w:spacing w:val="15"/>
      <w:sz w:val="26"/>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LegalEyebrow">
    <w:name w:val="Legal Eyebrow"/>
    <w:pPr>
      <w:spacing w:after="80"/>
    </w:pPr>
    <w:rPr>
      <w:rFonts w:ascii="Calibri" w:hAnsi="Calibri"/>
      <w:b/>
      <w:color w:val="2E74B5"/>
      <w:sz w:val="18"/>
    </w:rPr>
  </w:style>
  <w:style w:type="paragraph" w:customStyle="1" w:styleId="LegalMetadata">
    <w:name w:val="Legal Metadata"/>
    <w:pPr>
      <w:spacing w:after="80"/>
    </w:pPr>
    <w:rPr>
      <w:rFonts w:ascii="Calibri" w:hAnsi="Calibri"/>
      <w:b w:val="0"/>
      <w:color w:val="657186"/>
      <w:sz w:val="18"/>
    </w:rPr>
  </w:style>
  <w:style w:type="paragraph" w:customStyle="1" w:styleId="LegalFooter">
    <w:name w:val="Legal Footer"/>
    <w:pPr>
      <w:spacing w:after="80"/>
    </w:pPr>
    <w:rPr>
      <w:rFonts w:ascii="Calibri" w:hAnsi="Calibri"/>
      <w:b w:val="0"/>
      <w:color w:val="657186"/>
      <w:sz w:val="16"/>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hyperlink" Target="https://www.argentina.gob.ar/normativa/nacional/ley-24240-638/actualizacion" TargetMode="External"/><Relationship Id="rId12" Type="http://schemas.openxmlformats.org/officeDocument/2006/relationships/hyperlink" Target="https://www.argentina.gob.ar/normativa/nacional/ley-26994-235975/actualizacion" TargetMode="External"/><Relationship Id="rId13" Type="http://schemas.openxmlformats.org/officeDocument/2006/relationships/hyperlink" Target="https://www.argentina.gob.ar/normativa/nacional/disposici%C3%B3n-954-2025-417152/texto" TargetMode="External"/><Relationship Id="rId14" Type="http://schemas.openxmlformats.org/officeDocument/2006/relationships/hyperlink" Target="https://www.argentina.gob.ar/normativa/nacional/ley-25506-70749/actualizacion" TargetMode="External"/><Relationship Id="rId15" Type="http://schemas.openxmlformats.org/officeDocument/2006/relationships/hyperlink" Target="https://ai.google.dev/gemini-api/terms" TargetMode="External"/><Relationship Id="rId16" Type="http://schemas.openxmlformats.org/officeDocument/2006/relationships/hyperlink" Target="mailto:vetia.contacto@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Términos y Condiciones de Uso</dc:title>
  <dc:subject>Documento legal de VetIAx — beta exclusiva para Argentina</dc:subject>
  <dc:creator>Nordenpet S.R.L.</dc:creator>
  <cp:keywords/>
  <dc:description>Documento editable generado desde la fuente jurídica unificada de VetIAx.</dc:description>
  <cp:lastModifiedBy/>
  <cp:revision>1</cp:revision>
  <dcterms:created xsi:type="dcterms:W3CDTF">2013-12-23T23:15:00Z</dcterms:created>
  <dcterms:modified xsi:type="dcterms:W3CDTF">2013-12-23T23:15:00Z</dcterms:modified>
  <cp:category>Legal</cp:category>
</cp:coreProperties>
</file>