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egalEyebrow"/>
        <w:widowControl/>
      </w:pPr>
      <w:r>
        <w:t>VETIAX  /  DOCUMENTACIÓN LEGAL</w:t>
      </w:r>
    </w:p>
    <w:p>
      <w:pPr>
        <w:pStyle w:val="Title"/>
        <w:widowControl/>
      </w:pPr>
      <w:r>
        <w:t>Política de Privacidad</w:t>
      </w:r>
    </w:p>
    <w:p>
      <w:pPr>
        <w:pStyle w:val="Subtitle"/>
        <w:widowControl/>
      </w:pPr>
      <w:r>
        <w:t>Versión beta para la República Argentina</w:t>
      </w:r>
    </w:p>
    <w:p>
      <w:pPr>
        <w:pStyle w:val="LegalMetadata"/>
        <w:widowControl/>
      </w:pPr>
      <w:r>
        <w:rPr>
          <w:b/>
        </w:rPr>
        <w:t xml:space="preserve">Responsable: </w:t>
      </w:r>
      <w:r>
        <w:t>Nordenpet S.R.L. · CUIT 33-71609455-9</w:t>
      </w:r>
    </w:p>
    <w:p>
      <w:pPr>
        <w:pStyle w:val="LegalMetadata"/>
        <w:widowControl/>
      </w:pPr>
      <w:r>
        <w:rPr>
          <w:b/>
        </w:rPr>
        <w:t xml:space="preserve">Vigencia: </w:t>
      </w:r>
      <w:r>
        <w:t>31 de agosto de 2026</w:t>
      </w:r>
    </w:p>
    <w:p>
      <w:pPr>
        <w:pStyle w:val="LegalMetadata"/>
        <w:widowControl/>
      </w:pPr>
      <w:r>
        <w:rPr>
          <w:b/>
        </w:rPr>
        <w:t xml:space="preserve">Versión: </w:t>
      </w:r>
      <w:r>
        <w:t>vetia-legal-v1.4-beta-ar-2026-08-31</w:t>
      </w:r>
    </w:p>
    <w:p>
      <w:pPr>
        <w:pStyle w:val="LegalMetadata"/>
        <w:widowControl/>
      </w:pPr>
      <w:r>
        <w:rPr>
          <w:b/>
        </w:rPr>
        <w:t xml:space="preserve">Ámbito: </w:t>
      </w:r>
      <w:r>
        <w:t>República Argentina</w:t>
      </w:r>
    </w:p>
    <w:p>
      <w:pPr>
        <w:spacing w:before="200" w:after="240"/>
        <w:ind w:left="259" w:right="259"/>
        <w:shd w:fill="F4F6F9"/>
        <w:widowControl/>
        <w:pBdr>
          <w:left w:val="single" w:sz="14" w:space="10" w:color="2E74B5"/>
        </w:pBdr>
      </w:pPr>
      <w:r>
        <w:rPr>
          <w:b/>
          <w:color w:val="1F4D78"/>
        </w:rPr>
        <w:t>Esta Política explica de forma clara qué datos trata VetIAx, para qué los utiliza, dónde pueden ser procesados, durante cuánto tiempo se conservan y cómo ejercer los derechos reconocidos por la normativa argentina.</w:t>
      </w:r>
    </w:p>
    <w:p>
      <w:pPr>
        <w:pStyle w:val="Heading1"/>
        <w:widowControl/>
      </w:pPr>
      <w:r>
        <w:t>Puntos esenciales</w:t>
      </w:r>
    </w:p>
    <w:p>
      <w:pPr>
        <w:spacing w:after="80" w:line="300" w:lineRule="auto"/>
        <w:widowControl/>
        <w:numPr>
          <w:ilvl w:val="0"/>
          <w:numId w:val="10"/>
        </w:numPr>
      </w:pPr>
      <w:r>
        <w:t>Nordenpet S.R.L. es responsable de la base de datos y no vende ni alquila información de usuarios.</w:t>
      </w:r>
    </w:p>
    <w:p>
      <w:pPr>
        <w:spacing w:after="80" w:line="300" w:lineRule="auto"/>
        <w:widowControl/>
        <w:numPr>
          <w:ilvl w:val="0"/>
          <w:numId w:val="10"/>
        </w:numPr>
      </w:pPr>
      <w:r>
        <w:t>Gemini Developer API de Google puede procesar relatos y contexto limitado de mascotas; en el nivel gratuito, Google puede usar entradas y salidas para mejorar sus productos y puede realizar revisión humana.</w:t>
      </w:r>
    </w:p>
    <w:p>
      <w:pPr>
        <w:spacing w:after="80" w:line="300" w:lineRule="auto"/>
        <w:widowControl/>
        <w:numPr>
          <w:ilvl w:val="0"/>
          <w:numId w:val="10"/>
        </w:numPr>
      </w:pPr>
      <w:r>
        <w:t>VetIAx puede mostrar publicidad en cualquiera de sus secciones y ofrece controles separados para publicidad no personalizada, medición y publicidad personalizada.</w:t>
      </w:r>
    </w:p>
    <w:p>
      <w:pPr>
        <w:spacing w:after="80" w:line="300" w:lineRule="auto"/>
        <w:widowControl/>
        <w:numPr>
          <w:ilvl w:val="0"/>
          <w:numId w:val="10"/>
        </w:numPr>
      </w:pPr>
      <w:r>
        <w:t>Los datos se pueden consultar, exportar, corregir y suprimir desde la cuenta o por correo.</w:t>
      </w:r>
    </w:p>
    <w:p w:rsidRDefault="00000000">
      <w:pPr>
        <w:pStyle w:val="Heading1"/>
        <w:widowControl/>
      </w:pPr>
      <w:r>
        <w:t>1. Responsable y contacto</w:t>
      </w:r>
    </w:p>
    <w:p>
      <w:pPr>
        <w:widowControl/>
      </w:pPr>
      <w:r>
        <w:t>El responsable del tratamiento es Nordenpet S.R.L., CUIT 33-71609455-9, con domicilio en Manuel Belzu 4277, Vicente López (B1605 / 1605), Provincia de Buenos Aires, Argentina.</w:t>
      </w:r>
    </w:p>
    <w:p>
      <w:pPr>
        <w:widowControl/>
      </w:pPr>
      <w:r>
        <w:t>El canal para consultas de privacidad y para ejercer derechos es vetia.contacto@gmail.com. La autoridad de control en Argentina es la Agencia de Acceso a la Información Pública (AAIP).</w:t>
      </w:r>
    </w:p>
    <w:p w:rsidRDefault="00000000">
      <w:pPr>
        <w:pStyle w:val="Heading1"/>
        <w:widowControl/>
      </w:pPr>
      <w:r>
        <w:t>2. Alcance</w:t>
      </w:r>
    </w:p>
    <w:p>
      <w:pPr>
        <w:widowControl/>
      </w:pPr>
      <w:r>
        <w:t>Esta Política se aplica a la versión beta de VetIAx ofrecida a personas mayores de 18 años en Argentina, incluyendo el sitio, la cuenta, los perfiles de mascotas, las consultas, las fotografías y el centro de privacidad.</w:t>
      </w:r>
    </w:p>
    <w:p>
      <w:pPr>
        <w:widowControl/>
      </w:pPr>
      <w:r>
        <w:t>No regula servicios veterinarios de terceros ni sitios externos enlazados. VetIAx no está destinado a recopilar datos de menores de edad.</w:t>
      </w:r>
    </w:p>
    <w:p w:rsidRDefault="00000000">
      <w:pPr>
        <w:pStyle w:val="Heading1"/>
        <w:widowControl/>
      </w:pPr>
      <w:r>
        <w:t>3. Datos que recopilamos y generamos</w:t>
      </w:r>
    </w:p>
    <w:p>
      <w:pPr>
        <w:widowControl/>
      </w:pPr>
      <w:r>
        <w:t>VetIAx trata únicamente las categorías necesarias para operar las funciones elegidas por el usuario. Los datos sobre una mascota no son datos personales humanos por sí solos, pero pueden quedar asociados a la cuenta y por ello se protegen con las mismas medidas de acceso privado.</w:t>
      </w:r>
    </w:p>
    <w:p>
      <w:pPr>
        <w:spacing w:after="80"/>
        <w:widowControl/>
        <w:numPr>
          <w:ilvl w:val="0"/>
          <w:numId w:val="10"/>
        </w:numPr>
      </w:pPr>
      <w:r>
        <w:t>Cuenta e identidad: nombre visible, correo electrónico, identificadores internos, estado de cuenta, configuración regional y fechas de creación o actualización.</w:t>
      </w:r>
    </w:p>
    <w:p>
      <w:pPr>
        <w:spacing w:after="80"/>
        <w:widowControl/>
        <w:numPr>
          <w:ilvl w:val="0"/>
          <w:numId w:val="10"/>
        </w:numPr>
      </w:pPr>
      <w:r>
        <w:t>Credenciales y sesiones: derivación criptográfica de la contraseña, sal aleatoria, parámetros de derivación, tokens de sesión almacenados en forma de hash, vencimientos, intentos fallidos y bloqueos temporales. VetIAx no almacena la contraseña en texto legible.</w:t>
      </w:r>
    </w:p>
    <w:p>
      <w:pPr>
        <w:spacing w:after="80"/>
        <w:widowControl/>
        <w:numPr>
          <w:ilvl w:val="0"/>
          <w:numId w:val="10"/>
        </w:numPr>
      </w:pPr>
      <w:r>
        <w:t>Seguridad técnica: dirección de red combinada con correo y franja temporal para generar una clave hash antiabuso, conteos de intentos, actividad relevante de cuenta y metadatos limitados de auditoría.</w:t>
      </w:r>
    </w:p>
    <w:p>
      <w:pPr>
        <w:spacing w:after="80"/>
        <w:widowControl/>
        <w:numPr>
          <w:ilvl w:val="0"/>
          <w:numId w:val="10"/>
        </w:numPr>
      </w:pPr>
      <w:r>
        <w:t>Telemetría operativa propia: páginas vistas, sesión técnica, ruta, navegador y tipo general de dispositivo; inicio, avance, resultado, guardado y descarga de una orientación; uso de botones de atención, chat comercial y enlaces a proveedores; tiempos de respuesta, volumen transferido y errores. Cuando la persona inició sesión, estos eventos se vinculan a su identificador interno y correo para medir cuentas únicas, repeticiones, soporte, seguridad y mejora de la beta. No se copian en la telemetría contraseñas, relatos clínicos, texto del chat, fotografías ni dirección IP.</w:t>
      </w:r>
    </w:p>
    <w:p>
      <w:pPr>
        <w:spacing w:after="80"/>
        <w:widowControl/>
        <w:numPr>
          <w:ilvl w:val="0"/>
          <w:numId w:val="10"/>
        </w:numPr>
      </w:pPr>
      <w:r>
        <w:t>Mascotas: nombre, especie, raza, etapa de vida, edad, peso, sexo, castración, estado de preñez, fotografía y preferencia individual sobre uso de contexto histórico. El contexto queda habilitado por defecto para todas las mascotas y puede desactivarse por separado en cada perfil.</w:t>
      </w:r>
    </w:p>
    <w:p>
      <w:pPr>
        <w:spacing w:after="80"/>
        <w:widowControl/>
        <w:numPr>
          <w:ilvl w:val="0"/>
          <w:numId w:val="10"/>
        </w:numPr>
      </w:pPr>
      <w:r>
        <w:t>Consultas: relato libre, zona corporal, síntomas, signos de alarma, respuestas guiadas, inicio y evolución, apetito, energía, resultado, nivel de atención, reglas activadas y versión del protocolo.</w:t>
      </w:r>
    </w:p>
    <w:p>
      <w:pPr>
        <w:spacing w:after="80"/>
        <w:widowControl/>
        <w:numPr>
          <w:ilvl w:val="0"/>
          <w:numId w:val="10"/>
        </w:numPr>
      </w:pPr>
      <w:r>
        <w:t>Historia de cuidado: vacunas, alergias, medicación, antecedentes, controles u otros registros que el usuario decida incorporar, con fechas y descripciones.</w:t>
      </w:r>
    </w:p>
    <w:p>
      <w:pPr>
        <w:spacing w:after="80"/>
        <w:widowControl/>
        <w:numPr>
          <w:ilvl w:val="0"/>
          <w:numId w:val="10"/>
        </w:numPr>
      </w:pPr>
      <w:r>
        <w:t>Privacidad: versión y fecha de aceptación, finalidad, estado de permisos, preferencias de cookies y publicidad, solicitudes de exportación o eliminación y evidencia técnica asociada.</w:t>
      </w:r>
    </w:p>
    <w:p>
      <w:pPr>
        <w:spacing w:after="80"/>
        <w:widowControl/>
        <w:numPr>
          <w:ilvl w:val="0"/>
          <w:numId w:val="10"/>
        </w:numPr>
      </w:pPr>
      <w:r>
        <w:t>Publicidad y medición: página o sección visitada, dirección IP, tipo de navegador o dispositivo, idioma, ubicación aproximada, identificadores de cookies o almacenamiento local, señal de consentimiento, impresiones, visibilidad, clics y eventos necesarios para servir, limitar, proteger y medir anuncios. Google y sus socios pueden generar categorías adicionales según sus propias políticas y la configuración elegida.</w:t>
      </w:r>
    </w:p>
    <w:p>
      <w:pPr>
        <w:spacing w:after="80"/>
        <w:widowControl/>
        <w:numPr>
          <w:ilvl w:val="0"/>
          <w:numId w:val="10"/>
        </w:numPr>
      </w:pPr>
      <w:r>
        <w:t>Uso automatizado: contadores por ventanas horarias o diarias; relato de la consulta y contexto limitado de la mascota enviados a Gemini Developer API cuando la función esté técnicamente habilitada; respuesta estructurada, modelo utilizado, estado de ejecución y registros técnicos mínimos de error o consumo.</w:t>
      </w:r>
    </w:p>
    <w:p w:rsidRDefault="00000000">
      <w:pPr>
        <w:pStyle w:val="Heading1"/>
        <w:widowControl/>
      </w:pPr>
      <w:r>
        <w:t>4. Datos que no solicitamos en esta beta</w:t>
      </w:r>
    </w:p>
    <w:p>
      <w:pPr>
        <w:widowControl/>
      </w:pPr>
      <w:r>
        <w:t>VetIAx no solicita DNI, fecha de nacimiento, domicilio del usuario, teléfono, datos bancarios, medios de pago, geolocalización precisa, datos biométricos ni información de salud humana para finalidades publicitarias. Nordenpet no vende información ni entrega deliberadamente esos datos a Google como parámetros de segmentación.</w:t>
      </w:r>
    </w:p>
    <w:p>
      <w:pPr>
        <w:widowControl/>
      </w:pPr>
      <w:r>
        <w:t>El usuario debe evitar incluir esos datos, información sensible humana, datos de terceros o imágenes de personas en relatos y fotografías. Los archivos de imagen pueden conservar metadatos incorporados por el dispositivo; se recomienda removerlos antes de subirlos.</w:t>
      </w:r>
    </w:p>
    <w:p w:rsidRDefault="00000000">
      <w:pPr>
        <w:pStyle w:val="Heading1"/>
        <w:widowControl/>
      </w:pPr>
      <w:r>
        <w:t>5. Origen de los datos</w:t>
      </w:r>
    </w:p>
    <w:p>
      <w:pPr>
        <w:widowControl/>
      </w:pPr>
      <w:r>
        <w:t>Los datos provienen directamente del usuario al registrarse, completar perfiles, cargar fotografías, responder consultas o gestionar privacidad. VetIAx también genera identificadores, resultados, registros de seguridad, constancias de consentimiento y eventos técnicos a partir de esas interacciones.</w:t>
      </w:r>
    </w:p>
    <w:p>
      <w:pPr>
        <w:widowControl/>
      </w:pPr>
      <w:r>
        <w:t>No se compran bases de datos ni se incorporan datos personales desde redes sociales, corredores de datos o fuentes públicas para enriquecer perfiles.</w:t>
      </w:r>
    </w:p>
    <w:p w:rsidRDefault="00000000">
      <w:pPr>
        <w:pStyle w:val="Heading1"/>
        <w:widowControl/>
      </w:pPr>
      <w:r>
        <w:t>6. Finalidades y carácter obligatorio</w:t>
      </w:r>
    </w:p>
    <w:p>
      <w:pPr>
        <w:widowControl/>
      </w:pPr>
      <w:r>
        <w:t>Nombre, correo, contraseña y aceptación legal son obligatorios para crear y proteger una cuenta. Si no se proporcionan, VetIAx no puede habilitar funciones persistentes. Los datos de mascotas, consultas, fotografías e historia son facultativos, aunque algunos campos son necesarios para generar una orientación o guardar un perfil.</w:t>
      </w:r>
    </w:p>
    <w:p>
      <w:pPr>
        <w:widowControl/>
      </w:pPr>
      <w:r>
        <w:t>Las finalidades esenciales son autenticar al usuario; separar datos por cuenta; crear perfiles; generar y guardar orientaciones; mantener historial; almacenar fotografías privadas; medir el funcionamiento y la adopción de la beta mediante telemetría propia vinculada a la cuenta; detectar errores y abuso; brindar soporte; registrar consentimientos; permitir exportación y baja; y cumplir obligaciones legales. La telemetría propia se limita a eventos y metadatos operativos y no incorpora el relato clínico ni el texto del chat.</w:t>
      </w:r>
    </w:p>
    <w:p>
      <w:pPr>
        <w:widowControl/>
      </w:pPr>
      <w:r>
        <w:t>Las finalidades opcionales comprenden servir publicidad no personalizada en cualquier sección de VetIAx, habilitar medición de terceros, limitar frecuencia, prevenir tráfico inválido y, mediante una autorización adicional y separada, personalizar anuncios. La ubicación de un anuncio dentro de una consulta, perfil o resultado no convierte por sí sola el contenido privado de esa pantalla en un parámetro deliberado de segmentación.</w:t>
      </w:r>
    </w:p>
    <w:p>
      <w:pPr>
        <w:widowControl/>
      </w:pPr>
      <w:r>
        <w:t>La inexactitud u omisión puede producir resultados incompletos o impedir el funcionamiento de una función. VetIAx no utilizará la información para finalidades incompatibles sin informar y, cuando corresponda, obtener un consentimiento nuevo.</w:t>
      </w:r>
    </w:p>
    <w:p w:rsidRDefault="00000000">
      <w:pPr>
        <w:pStyle w:val="Heading1"/>
        <w:widowControl/>
      </w:pPr>
      <w:r>
        <w:t>7. Base jurídica y consentimiento</w:t>
      </w:r>
    </w:p>
    <w:p>
      <w:pPr>
        <w:widowControl/>
      </w:pPr>
      <w:r>
        <w:t>El tratamiento se sustenta en la aceptación libre, expresa e informada, en la necesidad de ejecutar el servicio solicitado, en la seguridad de la cuenta y en el cumplimiento de obligaciones legales. La aceptación queda vinculada a una versión determinada de los documentos.</w:t>
      </w:r>
    </w:p>
    <w:p>
      <w:pPr>
        <w:widowControl/>
      </w:pPr>
      <w:r>
        <w:t>La telemetría operativa propia forma parte del funcionamiento informado de la beta y se aplica a todas las cuentas. Las tecnologías publicitarias y la medición de terceros permanecen opcionales y se administran por separado. La persona puede autorizar publicidad no personalizada, medición de terceros y publicidad personalizada mediante controles diferenciados, sin que la creación de una cuenta implique consentimiento publicitario. Autorizar publicidad no personalizada no autoriza por sí solo la personalización. VetIAx debe respetar cada señal antes de habilitar la tecnología correspondiente.</w:t>
      </w:r>
    </w:p>
    <w:p>
      <w:pPr>
        <w:widowControl/>
      </w:pPr>
      <w:r>
        <w:t>El contexto histórico queda habilitado por defecto para todas las mascotas a partir de la aceptación de esta versión. La persona puede desactivarlo en cualquier momento para una mascota desde su perfil; la decisión se aplica a nuevos usos y no impide conservar el historial que la persona haya elegido guardar en VetIAx.</w:t>
      </w:r>
    </w:p>
    <w:p w:rsidRDefault="00000000">
      <w:pPr>
        <w:pStyle w:val="Heading1"/>
        <w:widowControl/>
      </w:pPr>
      <w:r>
        <w:t>8. Reglas automatizadas e inteligencia artificial</w:t>
      </w:r>
    </w:p>
    <w:p>
      <w:pPr>
        <w:widowControl/>
      </w:pPr>
      <w:r>
        <w:t>VetIAx utiliza reglas automatizadas para calcular niveles orientativos de atención y preparar explicaciones. Gemini Developer API de Google LLC se utiliza, cuando está técnicamente habilitado, sólo para extraer y estructurar datos del relato y del contexto limitado de la mascota. Gemini no establece el nivel de urgencia, no diagnostica, no prescribe y no recomienda tratamientos ni medicamentos; las reglas de seguridad determinísticas conservan prioridad y pueden ignorar, corregir o reemplazar su salida.</w:t>
      </w:r>
    </w:p>
    <w:p>
      <w:pPr>
        <w:widowControl/>
      </w:pPr>
      <w:r>
        <w:t>VetIAx utiliza el nivel gratuito de Gemini Developer API. Según los términos de Google aplicables a servicios sin cargo, Google puede usar las entradas y salidas para proporcionar, mejorar y desarrollar sus productos, servicios y tecnologías de aprendizaje automático, y revisores humanos pueden leer, anotar y procesar la información. Las entradas y salidas no deben considerarse confidenciales. Por eso VetIAx minimiza el contexto enviado y la persona no debe escribir nombres completos, documentos, teléfonos, domicilios, datos de salud humana, secretos, información confidencial ni datos innecesarios de terceros.</w:t>
      </w:r>
    </w:p>
    <w:p>
      <w:pPr>
        <w:widowControl/>
      </w:pPr>
      <w:r>
        <w:t>La aceptación de esta Política comprende este procesamiento para todas las mascotas, con el contexto histórico habilitado por defecto y la posibilidad de desactivarlo por perfil. Si falta la clave, el proveedor no está disponible o la respuesta no supera las validaciones, VetIAx continúa con reglas determinísticas sin enviar o sin utilizar una salida de Gemini.</w:t>
      </w:r>
    </w:p>
    <w:p w:rsidRDefault="00000000">
      <w:pPr>
        <w:pStyle w:val="Heading1"/>
        <w:widowControl/>
      </w:pPr>
      <w:r>
        <w:t>9. Encargados, destinatarios y ausencia de venta</w:t>
      </w:r>
    </w:p>
    <w:p>
      <w:pPr>
        <w:widowControl/>
      </w:pPr>
      <w:r>
        <w:t>Nordenpet puede permitir acceso limitado a proveedores tecnológicos para alojar la aplicación, bases de datos, fotografías, seguridad y operación técnica. En la infraestructura vigente intervienen servicios de Sites/OpenAI y Cloudflare, sujetos a sus condiciones contractuales y medidas de seguridad.</w:t>
      </w:r>
    </w:p>
    <w:p>
      <w:pPr>
        <w:widowControl/>
      </w:pPr>
      <w:r>
        <w:t>Para la función de estructuración automatizada interviene Google LLC mediante Gemini Developer API en su nivel gratuito. Google recibe las entradas y genera las salidas bajo sus propios Términos Adicionales de Gemini API y su Política de Privacidad; ese nivel gratuito no ofrece la misma exclusión de uso para mejora de productos que el servicio pago.</w:t>
      </w:r>
    </w:p>
    <w:p>
      <w:pPr>
        <w:widowControl/>
      </w:pPr>
      <w:r>
        <w:t>Para publicidad y medición pueden intervenir Google, sus plataformas publicitarias y proveedores autorizados identificados en el flujo de consentimiento. El código publicitario puede recibir la URL o sección visitada, dirección IP, información del dispositivo, identificadores, señales de consentimiento e interacciones con anuncios, incluso cuando la unidad se muestre en consultas, perfiles, historiales, resultados o páginas de cuenta.</w:t>
      </w:r>
    </w:p>
    <w:p>
      <w:pPr>
        <w:widowControl/>
      </w:pPr>
      <w:r>
        <w:t>VetIAx configurará la integración para no incorporar deliberadamente correos, contraseñas, nombres de usuario, fotografías, texto escrito en formularios ni identificadores internos de cuenta en las solicitudes publicitarias. Los campos privados no deben incluirse en URLs ni parámetros enviados a Google.</w:t>
      </w:r>
    </w:p>
    <w:p>
      <w:pPr>
        <w:widowControl/>
      </w:pPr>
      <w:r>
        <w:t>También podrán comunicarse datos cuando una ley, orden judicial o autoridad competente lo exija, o cuando sea necesario para investigar fraude, incidentes o proteger derechos, aplicando minimización y registro.</w:t>
      </w:r>
    </w:p>
    <w:p>
      <w:pPr>
        <w:widowControl/>
      </w:pPr>
      <w:r>
        <w:t>VetIAx no vende, alquila ni intercambia bases de usuarios, mascotas, fotografías o consultas. La participación de Google y sus socios se limita a las tecnologías, señales y finalidades publicitarias informadas; no equivale a entregarles la base privada de VetIAx.</w:t>
      </w:r>
    </w:p>
    <w:p w:rsidRDefault="00000000">
      <w:pPr>
        <w:pStyle w:val="Heading1"/>
        <w:widowControl/>
      </w:pPr>
      <w:r>
        <w:t>10. Procesamiento y transferencias internacionales</w:t>
      </w:r>
    </w:p>
    <w:p>
      <w:pPr>
        <w:widowControl/>
      </w:pPr>
      <w:r>
        <w:t>La infraestructura de alojamiento, soporte y Gemini Developer API puede implicar acceso, almacenamiento o procesamiento técnico fuera de Argentina, incluso por Google y sus revisores humanos. Los países o ubicaciones concretas pueden depender de la arquitectura del proveedor.</w:t>
      </w:r>
    </w:p>
    <w:p>
      <w:pPr>
        <w:widowControl/>
      </w:pPr>
      <w:r>
        <w:t>Cuando exista una transferencia internacional de datos personales, Nordenpet aplicará los mecanismos requeridos por el artículo 12 de la Ley 25.326 y sus normas complementarias, incluyendo evaluación de adecuación, cláusulas contractuales tipo u otras garantías válidas según corresponda. La aceptación de esta Política informa esa posibilidad, pero no sustituye las garantías obligatorias.</w:t>
      </w:r>
    </w:p>
    <w:p>
      <w:pPr>
        <w:widowControl/>
      </w:pPr>
      <w:r>
        <w:t>Un cambio material de proveedor, finalidad o destino será informado mediante una nueva versión antes de afectar datos de forma sustancial.</w:t>
      </w:r>
    </w:p>
    <w:p w:rsidRDefault="00000000">
      <w:pPr>
        <w:pStyle w:val="Heading1"/>
        <w:widowControl/>
      </w:pPr>
      <w:r>
        <w:t>11. Cookies y tecnologías similares</w:t>
      </w:r>
    </w:p>
    <w:p>
      <w:pPr>
        <w:widowControl/>
      </w:pPr>
      <w:r>
        <w:t>VetIAx utiliza una cookie de sesión estrictamente necesaria para mantener el acceso autenticado. Es HttpOnly, usa SameSite=Lax y, en producción, se transmite mediante conexión segura. La sesión normal vence a los 30 días y puede cerrarse antes desde la cuenta.</w:t>
      </w:r>
    </w:p>
    <w:p>
      <w:pPr>
        <w:widowControl/>
      </w:pPr>
      <w:r>
        <w:t>VetIAx también utiliza una preferencia de consentimiento de primera parte para recordar por separado la elección sobre publicidad no personalizada, medición y publicidad personalizada. Esta preferencia no contiene correo, nombre, datos de mascotas ni contenido de consultas.</w:t>
      </w:r>
    </w:p>
    <w:p>
      <w:pPr>
        <w:widowControl/>
      </w:pPr>
      <w:r>
        <w:t>Cuando la persona autoriza publicidad, Google y sus socios pueden usar cookies, almacenamiento local, píxeles, etiquetas, direcciones IP y otros identificadores para servir anuncios no personalizados, limitar frecuencia y combatir fraude. La medición se controla por separado. Sólo cuando además se autoriza publicidad personalizada pueden habilitarse señales destinadas al uso de datos publicitarios y a la personalización. Estas tecnologías pueden operar en cualquier sección donde se muestre una unidad publicitaria.</w:t>
      </w:r>
    </w:p>
    <w:p>
      <w:pPr>
        <w:widowControl/>
      </w:pPr>
      <w:r>
        <w:t>La Política de Cookies y Tecnologías Publicitarias contiene las categorías, controles, proveedores y plazos disponibles. La persona puede reabrir “Configurar cookies” para modificar o retirar su decisión.</w:t>
      </w:r>
    </w:p>
    <w:p w:rsidRDefault="00000000">
      <w:pPr>
        <w:pStyle w:val="Heading1"/>
        <w:widowControl/>
      </w:pPr>
      <w:r>
        <w:t>12. Seguridad y confidencialidad</w:t>
      </w:r>
    </w:p>
    <w:p>
      <w:pPr>
        <w:widowControl/>
      </w:pPr>
      <w:r>
        <w:t>Nordenpet aplica medidas técnicas y organizativas razonables: separación por cuenta, validación de propiedad, contraseñas derivadas criptográficamente, tokens opacos almacenados como hash, controles de origen, límites de intentos, validación de archivos, almacenamiento privado de fotografías, auditoría y encabezados de seguridad.</w:t>
      </w:r>
    </w:p>
    <w:p>
      <w:pPr>
        <w:widowControl/>
      </w:pPr>
      <w:r>
        <w:t>Ningún sistema es invulnerable. Ante un incidente que pueda afectar significativamente derechos de titulares, Nordenpet evaluará alcance, mitigación, obligaciones de registro y comunicaciones a personas o autoridades en lenguaje claro.</w:t>
      </w:r>
    </w:p>
    <w:p>
      <w:pPr>
        <w:widowControl/>
      </w:pPr>
      <w:r>
        <w:t>El acceso interno y de los proveedores que actúan por cuenta de Nordenpet debe limitarse a personas y procesos autorizados. El nivel gratuito de Gemini se rige por las condiciones específicas de Google informadas en esta Política y no debe utilizarse para contenido confidencial.</w:t>
      </w:r>
    </w:p>
    <w:p w:rsidRDefault="00000000">
      <w:pPr>
        <w:pStyle w:val="Heading1"/>
        <w:widowControl/>
      </w:pPr>
      <w:r>
        <w:t>13. Conservación y eliminación</w:t>
      </w:r>
    </w:p>
    <w:p>
      <w:pPr>
        <w:widowControl/>
      </w:pPr>
      <w:r>
        <w:t>La cuenta, perfiles, consultas, historia de cuidado, fotografías y consentimientos se conservan mientras la cuenta permanezca activa o hasta que el usuario elimine el elemento, solicite la baja o los datos dejen de ser necesarios.</w:t>
      </w:r>
    </w:p>
    <w:p>
      <w:pPr>
        <w:widowControl/>
      </w:pPr>
      <w:r>
        <w:t>Las sesiones vencen normalmente a los 30 días. La preferencia local de cookies se propone por 180 días y se renueva antes si cambian proveedores o finalidades. Google y otros proveedores conservan información conforme sus términos, políticas y configuraciones aplicables. La eliminación dentro de VetIAx no permite retirar contenido que ya haya sido procesado o conservado por Google bajo las condiciones del nivel gratuito de Gemini.</w:t>
      </w:r>
    </w:p>
    <w:p>
      <w:pPr>
        <w:widowControl/>
      </w:pPr>
      <w:r>
        <w:t>Las ventanas antiabuso y registros técnicos se conservan durante el plazo necesario para seguridad y diagnóstico; los registros vinculados a incidentes, consentimientos o defensa de derechos pueden mantenerse por un plazo mayor cuando exista una justificación o deber legal.</w:t>
      </w:r>
    </w:p>
    <w:p>
      <w:pPr>
        <w:widowControl/>
      </w:pPr>
      <w:r>
        <w:t>Al solicitar la eliminación de la cuenta se revoca el acceso de inmediato y se programa la supresión operativa de perfiles, credenciales, mascotas, fotografías, consultas, historia, consentimientos y registros asociados dentro de un máximo de 30 días. Copias técnicas de respaldo, si existieran, pueden permanecer aisladas hasta su rotación normal y no se utilizan para operar la cuenta, salvo obligación legal o recuperación ante desastre.</w:t>
      </w:r>
    </w:p>
    <w:p>
      <w:pPr>
        <w:widowControl/>
      </w:pPr>
      <w:r>
        <w:t>La supresión puede limitarse respecto de información que deba conservarse para cumplir una obligación legal, responder a una autoridad o defender derechos, en cuyo caso quedará bloqueada y se eliminará al vencer el plazo aplicable.</w:t>
      </w:r>
    </w:p>
    <w:p w:rsidRDefault="00000000">
      <w:pPr>
        <w:pStyle w:val="Heading1"/>
        <w:widowControl/>
      </w:pPr>
      <w:r>
        <w:t>14. Derechos de las personas titulares</w:t>
      </w:r>
    </w:p>
    <w:p>
      <w:pPr>
        <w:widowControl/>
      </w:pPr>
      <w:r>
        <w:t>El titular puede solicitar información, acceso, rectificación, actualización, supresión y confidencialidad de sus datos. El acceso es gratuito con los intervalos previstos por la Ley 25.326; la respuesta debe darse dentro de diez días corridos. La rectificación, actualización o supresión debe atenderse dentro de cinco días hábiles cuando corresponda.</w:t>
      </w:r>
    </w:p>
    <w:p>
      <w:pPr>
        <w:widowControl/>
      </w:pPr>
      <w:r>
        <w:t>VetIAx ofrece herramientas para editar perfiles, descargar una copia JSON, configurar cookies y eliminar la cuenta. También puede enviarse una solicitud a vetia.contacto@gmail.com indicando nombre, correo de cuenta, derecho ejercido y medio de respuesta. Nordenpet podrá pedir acreditación razonable de identidad y no solicitará más datos de los necesarios.</w:t>
      </w:r>
    </w:p>
    <w:p>
      <w:pPr>
        <w:widowControl/>
      </w:pPr>
      <w:r>
        <w:t>Si la respuesta resulta insuficiente o no se recibe en plazo, el titular puede reclamar ante la Agencia de Acceso a la Información Pública o ejercer la acción de hábeas data.</w:t>
      </w:r>
    </w:p>
    <w:p w:rsidRDefault="00000000">
      <w:pPr>
        <w:pStyle w:val="Heading1"/>
        <w:widowControl/>
      </w:pPr>
      <w:r>
        <w:t>15. Menores y datos de terceros</w:t>
      </w:r>
    </w:p>
    <w:p>
      <w:pPr>
        <w:widowControl/>
      </w:pPr>
      <w:r>
        <w:t>VetIAx no está dirigido a menores de 18 años y no solicita su fecha de nacimiento. Si Nordenpet detecta razonablemente una cuenta de una persona menor, podrá suspenderla y eliminar sus datos, sin perjuicio de las verificaciones necesarias.</w:t>
      </w:r>
    </w:p>
    <w:p>
      <w:pPr>
        <w:widowControl/>
      </w:pPr>
      <w:r>
        <w:t>El usuario no debe incorporar información personal de familiares, veterinarios u otras personas sin autorización. Las fotografías deben mostrar a la mascota y evitar personas, documentos, patentes, domicilios u otros identificadores.</w:t>
      </w:r>
    </w:p>
    <w:p w:rsidRDefault="00000000">
      <w:pPr>
        <w:pStyle w:val="Heading1"/>
        <w:widowControl/>
      </w:pPr>
      <w:r>
        <w:t>16. Registro y autoridad de control</w:t>
      </w:r>
    </w:p>
    <w:p>
      <w:pPr>
        <w:widowControl/>
      </w:pPr>
      <w:r>
        <w:t>Nordenpet es responsable de mantener actualizada la información que legalmente corresponda ante el Registro Nacional de Bases de Datos Personales. La publicación de esta Política no reemplaza las obligaciones de inscripción, seguridad, contratos con encargados o transferencias internacionales.</w:t>
      </w:r>
    </w:p>
    <w:p>
      <w:pPr>
        <w:widowControl/>
      </w:pPr>
      <w:r>
        <w:t>La Agencia de Acceso a la Información Pública es el órgano de control de la Ley 25.326. Sus canales, modelos de solicitud y procedimiento de denuncia se encuentran en argentina.gob.ar/aaip/datospersonales.</w:t>
      </w:r>
    </w:p>
    <w:p w:rsidRDefault="00000000">
      <w:pPr>
        <w:pStyle w:val="Heading1"/>
        <w:widowControl/>
      </w:pPr>
      <w:r>
        <w:t>17. Cambios a esta Política</w:t>
      </w:r>
    </w:p>
    <w:p>
      <w:pPr>
        <w:widowControl/>
      </w:pPr>
      <w:r>
        <w:t>La fecha y versión vigente se publican al inicio del documento. Los cambios sustanciales se comunicarán dentro del servicio y requerirán una nueva aceptación cuando modifiquen finalidades, categorías relevantes, proveedores de IA, transferencias o derechos.</w:t>
      </w:r>
    </w:p>
    <w:p>
      <w:pPr>
        <w:widowControl/>
      </w:pPr>
      <w:r>
        <w:t>Las versiones anteriores podrán conservarse como evidencia del texto aceptado y de las obligaciones vigentes en cada momento.</w:t>
      </w:r>
    </w:p>
    <w:p w:rsidRDefault="00000000">
      <w:pPr>
        <w:pStyle w:val="Heading1"/>
        <w:widowControl/>
      </w:pPr>
      <w:r>
        <w:t>18. Contacto de privacidad</w:t>
      </w:r>
    </w:p>
    <w:p>
      <w:pPr>
        <w:widowControl/>
      </w:pPr>
      <w:r>
        <w:t>Nordenpet S.R.L. · CUIT 33-71609455-9 · Manuel Belzu 4277, Vicente López (B1605 / 1605), Provincia de Buenos Aires, Argentina · vetia.contacto@gmail.com.</w:t>
      </w:r>
    </w:p>
    <w:p>
      <w:pPr>
        <w:pStyle w:val="Heading1"/>
        <w:widowControl/>
      </w:pPr>
      <w:r>
        <w:t>Fuentes oficiales</w:t>
      </w:r>
    </w:p>
    <w:p>
      <w:pPr>
        <w:keepNext/>
        <w:widowControl/>
      </w:pPr>
      <w:r>
        <w:t>Normas, autoridades y políticas oficiales de proveedores utilizadas para esta versión.</w:t>
      </w:r>
    </w:p>
    <w:p>
      <w:pPr>
        <w:widowControl/>
        <w:numPr>
          <w:ilvl w:val="0"/>
          <w:numId w:val="10"/>
        </w:numPr>
      </w:pPr>
      <w:hyperlink r:id="rId11">
        <w:r>
          <w:rPr>
            <w:color w:val="2E74B5"/>
            <w:u w:val="single"/>
          </w:rPr>
          <w:t>Ley 25.326 de Protección de los Datos Personales - texto actualizado</w:t>
        </w:r>
      </w:hyperlink>
    </w:p>
    <w:p>
      <w:pPr>
        <w:widowControl/>
        <w:numPr>
          <w:ilvl w:val="0"/>
          <w:numId w:val="10"/>
        </w:numPr>
      </w:pPr>
      <w:hyperlink r:id="rId12">
        <w:r>
          <w:rPr>
            <w:color w:val="2E74B5"/>
            <w:u w:val="single"/>
          </w:rPr>
          <w:t>Decreto 1558/2001 - reglamentación de la Ley 25.326</w:t>
        </w:r>
      </w:hyperlink>
    </w:p>
    <w:p>
      <w:pPr>
        <w:widowControl/>
        <w:numPr>
          <w:ilvl w:val="0"/>
          <w:numId w:val="10"/>
        </w:numPr>
      </w:pPr>
      <w:hyperlink r:id="rId13">
        <w:r>
          <w:rPr>
            <w:color w:val="2E74B5"/>
            <w:u w:val="single"/>
          </w:rPr>
          <w:t>AAIP - Derechos de las personas titulares</w:t>
        </w:r>
      </w:hyperlink>
    </w:p>
    <w:p>
      <w:pPr>
        <w:widowControl/>
        <w:numPr>
          <w:ilvl w:val="0"/>
          <w:numId w:val="10"/>
        </w:numPr>
      </w:pPr>
      <w:hyperlink r:id="rId14">
        <w:r>
          <w:rPr>
            <w:color w:val="2E74B5"/>
            <w:u w:val="single"/>
          </w:rPr>
          <w:t>AAIP - Obligaciones de responsables de bases de datos</w:t>
        </w:r>
      </w:hyperlink>
    </w:p>
    <w:p>
      <w:pPr>
        <w:widowControl/>
        <w:numPr>
          <w:ilvl w:val="0"/>
          <w:numId w:val="10"/>
        </w:numPr>
      </w:pPr>
      <w:hyperlink r:id="rId15">
        <w:r>
          <w:rPr>
            <w:color w:val="2E74B5"/>
            <w:u w:val="single"/>
          </w:rPr>
          <w:t>Resolución AAIP 47/2018 - medidas de seguridad recomendadas</w:t>
        </w:r>
      </w:hyperlink>
    </w:p>
    <w:p>
      <w:pPr>
        <w:widowControl/>
        <w:numPr>
          <w:ilvl w:val="0"/>
          <w:numId w:val="10"/>
        </w:numPr>
      </w:pPr>
      <w:hyperlink r:id="rId16">
        <w:r>
          <w:rPr>
            <w:color w:val="2E74B5"/>
            <w:u w:val="single"/>
          </w:rPr>
          <w:t>AAIP - Transferencias internacionales de datos personales</w:t>
        </w:r>
      </w:hyperlink>
    </w:p>
    <w:p>
      <w:pPr>
        <w:widowControl/>
        <w:numPr>
          <w:ilvl w:val="0"/>
          <w:numId w:val="10"/>
        </w:numPr>
      </w:pPr>
      <w:hyperlink r:id="rId17">
        <w:r>
          <w:rPr>
            <w:color w:val="2E74B5"/>
            <w:u w:val="single"/>
          </w:rPr>
          <w:t>AAIP - Orientaciones sobre protección de datos e inteligencia artificial</w:t>
        </w:r>
      </w:hyperlink>
    </w:p>
    <w:p>
      <w:pPr>
        <w:widowControl/>
        <w:numPr>
          <w:ilvl w:val="0"/>
          <w:numId w:val="10"/>
        </w:numPr>
      </w:pPr>
      <w:hyperlink r:id="rId18">
        <w:r>
          <w:rPr>
            <w:color w:val="2E74B5"/>
            <w:u w:val="single"/>
          </w:rPr>
          <w:t>Google - Términos Adicionales de Gemini API</w:t>
        </w:r>
      </w:hyperlink>
    </w:p>
    <w:p>
      <w:pPr>
        <w:widowControl/>
        <w:numPr>
          <w:ilvl w:val="0"/>
          <w:numId w:val="10"/>
        </w:numPr>
      </w:pPr>
      <w:hyperlink r:id="rId19">
        <w:r>
          <w:rPr>
            <w:color w:val="2E74B5"/>
            <w:u w:val="single"/>
          </w:rPr>
          <w:t>Google - Política de Privacidad</w:t>
        </w:r>
      </w:hyperlink>
    </w:p>
    <w:p>
      <w:pPr>
        <w:widowControl/>
        <w:numPr>
          <w:ilvl w:val="0"/>
          <w:numId w:val="10"/>
        </w:numPr>
      </w:pPr>
      <w:hyperlink r:id="rId20">
        <w:r>
          <w:rPr>
            <w:color w:val="2E74B5"/>
            <w:u w:val="single"/>
          </w:rPr>
          <w:t>Google AdSense - contenido requerido en la política de privacidad</w:t>
        </w:r>
      </w:hyperlink>
    </w:p>
    <w:p>
      <w:pPr>
        <w:widowControl/>
        <w:numPr>
          <w:ilvl w:val="0"/>
          <w:numId w:val="10"/>
        </w:numPr>
      </w:pPr>
      <w:hyperlink r:id="rId21">
        <w:r>
          <w:rPr>
            <w:color w:val="2E74B5"/>
            <w:u w:val="single"/>
          </w:rPr>
          <w:t>Google - cómo usa información de sitios y aplicaciones asociados</w:t>
        </w:r>
      </w:hyperlink>
    </w:p>
    <w:p>
      <w:pPr>
        <w:widowControl/>
        <w:numPr>
          <w:ilvl w:val="0"/>
          <w:numId w:val="10"/>
        </w:numPr>
      </w:pPr>
      <w:hyperlink r:id="rId22">
        <w:r>
          <w:rPr>
            <w:color w:val="2E74B5"/>
            <w:u w:val="single"/>
          </w:rPr>
          <w:t>Google AdSense - cómo utiliza cookies</w:t>
        </w:r>
      </w:hyperlink>
    </w:p>
    <w:p>
      <w:pPr>
        <w:spacing w:before="280"/>
        <w:ind w:left="259" w:right="259"/>
        <w:widowControl/>
        <w:shd w:fill="F4F6F9"/>
      </w:pPr>
      <w:r>
        <w:rPr>
          <w:b/>
          <w:color w:val="1F4D78"/>
        </w:rPr>
        <w:t>Contacto legal y de privacidad</w:t>
        <w:br/>
      </w:r>
      <w:r>
        <w:t>Nordenpet S.R.L. · CUIT 33-71609455-9</w:t>
        <w:br/>
        <w:t>Manuel Belzu 4277, Vicente López (B1605 / 1605), Provincia de Buenos Aires, Argentina</w:t>
        <w:br/>
      </w:r>
      <w:hyperlink r:id="rId23">
        <w:r>
          <w:rPr>
            <w:color w:val="2E74B5"/>
            <w:u w:val="single"/>
          </w:rPr>
          <w:t>vetia.contacto@gmail.com</w:t>
        </w:r>
      </w:hyperlink>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LegalFooter"/>
      <w:jc w:val="center"/>
    </w:pPr>
    <w:r>
      <w:t xml:space="preserve">Nordenpet S.R.L.  ·  Términos, Privacidad y Cookies Argentina · Beta v1.4  ·  Página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LegalFooter"/>
      <w:jc w:val="right"/>
    </w:pPr>
    <w:r>
      <w:rPr>
        <w:b/>
        <w:color w:val="1F4D78"/>
      </w:rPr>
      <w:t>VetIAx  ·  Política de Privacidad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rPr>
        <w:rFonts w:ascii="Arial" w:hAnsi="Arial"/>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24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65718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Eyebrow">
    <w:name w:val="Legal Eyebrow"/>
    <w:pPr>
      <w:spacing w:after="80"/>
    </w:pPr>
    <w:rPr>
      <w:rFonts w:ascii="Calibri" w:hAnsi="Calibri"/>
      <w:b/>
      <w:color w:val="2E74B5"/>
      <w:sz w:val="18"/>
    </w:rPr>
  </w:style>
  <w:style w:type="paragraph" w:customStyle="1" w:styleId="LegalMetadata">
    <w:name w:val="Legal Metadata"/>
    <w:pPr>
      <w:spacing w:after="80"/>
    </w:pPr>
    <w:rPr>
      <w:rFonts w:ascii="Calibri" w:hAnsi="Calibri"/>
      <w:b w:val="0"/>
      <w:color w:val="657186"/>
      <w:sz w:val="18"/>
    </w:rPr>
  </w:style>
  <w:style w:type="paragraph" w:customStyle="1" w:styleId="LegalFooter">
    <w:name w:val="Legal Footer"/>
    <w:pPr>
      <w:spacing w:after="80"/>
    </w:pPr>
    <w:rPr>
      <w:rFonts w:ascii="Calibri" w:hAnsi="Calibri"/>
      <w:b w:val="0"/>
      <w:color w:val="65718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argentina.gob.ar/normativa/nacional/64790/actualizacion" TargetMode="External"/><Relationship Id="rId12" Type="http://schemas.openxmlformats.org/officeDocument/2006/relationships/hyperlink" Target="https://www.argentina.gob.ar/normativa/nacional/decreto-1558-2001-70368/texto" TargetMode="External"/><Relationship Id="rId13" Type="http://schemas.openxmlformats.org/officeDocument/2006/relationships/hyperlink" Target="https://www.argentina.gob.ar/aaip/datospersonales/derechos" TargetMode="External"/><Relationship Id="rId14" Type="http://schemas.openxmlformats.org/officeDocument/2006/relationships/hyperlink" Target="https://www.argentina.gob.ar/aaip/datospersonales/responsables/obligaciones" TargetMode="External"/><Relationship Id="rId15" Type="http://schemas.openxmlformats.org/officeDocument/2006/relationships/hyperlink" Target="https://www.argentina.gob.ar/normativa/nacional/resoluci%C3%B3n-47-2018-312662/texto" TargetMode="External"/><Relationship Id="rId16" Type="http://schemas.openxmlformats.org/officeDocument/2006/relationships/hyperlink" Target="https://www.argentina.gob.ar/transferencias-internacionales" TargetMode="External"/><Relationship Id="rId17" Type="http://schemas.openxmlformats.org/officeDocument/2006/relationships/hyperlink" Target="https://www.argentina.gob.ar/sites/default/files/orientaciones_especificas_de_proteccion_de_datos_en_inteligencia_artificial.pdf" TargetMode="External"/><Relationship Id="rId18" Type="http://schemas.openxmlformats.org/officeDocument/2006/relationships/hyperlink" Target="https://ai.google.dev/gemini-api/terms" TargetMode="External"/><Relationship Id="rId19" Type="http://schemas.openxmlformats.org/officeDocument/2006/relationships/hyperlink" Target="https://policies.google.com/privacy" TargetMode="External"/><Relationship Id="rId20" Type="http://schemas.openxmlformats.org/officeDocument/2006/relationships/hyperlink" Target="https://support.google.com/adsense/answer/1348695" TargetMode="External"/><Relationship Id="rId21" Type="http://schemas.openxmlformats.org/officeDocument/2006/relationships/hyperlink" Target="https://policies.google.com/technologies/partner-sites" TargetMode="External"/><Relationship Id="rId22" Type="http://schemas.openxmlformats.org/officeDocument/2006/relationships/hyperlink" Target="https://support.google.com/adsense/answer/7549925" TargetMode="External"/><Relationship Id="rId23" Type="http://schemas.openxmlformats.org/officeDocument/2006/relationships/hyperlink" Target="mailto:vetia.contac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Privacidad</dc:title>
  <dc:subject>Documento legal de VetIAx — beta exclusiva para Argentina</dc:subject>
  <dc:creator>Nordenpet S.R.L.</dc:creator>
  <cp:keywords/>
  <dc:description>Documento editable generado desde la fuente jurídica unificada de VetIAx.</dc:description>
  <cp:lastModifiedBy/>
  <cp:revision>1</cp:revision>
  <dcterms:created xsi:type="dcterms:W3CDTF">2013-12-23T23:15:00Z</dcterms:created>
  <dcterms:modified xsi:type="dcterms:W3CDTF">2013-12-23T23:15:00Z</dcterms:modified>
  <cp:category>Legal</cp:category>
</cp:coreProperties>
</file>