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egalEyebrow"/>
        <w:widowControl/>
      </w:pPr>
      <w:r>
        <w:t>VETIAX  /  DOCUMENTACIÓN LEGAL</w:t>
      </w:r>
    </w:p>
    <w:p>
      <w:pPr>
        <w:pStyle w:val="Title"/>
        <w:widowControl/>
      </w:pPr>
      <w:r>
        <w:t>Política de Cookies y Tecnologías Publicitarias</w:t>
      </w:r>
    </w:p>
    <w:p>
      <w:pPr>
        <w:pStyle w:val="Subtitle"/>
        <w:widowControl/>
      </w:pPr>
      <w:r>
        <w:t>Información y preferencias para la República Argentina</w:t>
      </w:r>
    </w:p>
    <w:p>
      <w:pPr>
        <w:pStyle w:val="LegalMetadata"/>
        <w:widowControl/>
      </w:pPr>
      <w:r>
        <w:rPr>
          <w:b/>
        </w:rPr>
        <w:t xml:space="preserve">Responsable: </w:t>
      </w:r>
      <w:r>
        <w:t>Nordenpet S.R.L. · CUIT 33-71609455-9</w:t>
      </w:r>
    </w:p>
    <w:p>
      <w:pPr>
        <w:pStyle w:val="LegalMetadata"/>
        <w:widowControl/>
      </w:pPr>
      <w:r>
        <w:rPr>
          <w:b/>
        </w:rPr>
        <w:t xml:space="preserve">Vigencia: </w:t>
      </w:r>
      <w:r>
        <w:t>31 de agosto de 2026</w:t>
      </w:r>
    </w:p>
    <w:p>
      <w:pPr>
        <w:pStyle w:val="LegalMetadata"/>
        <w:widowControl/>
      </w:pPr>
      <w:r>
        <w:rPr>
          <w:b/>
        </w:rPr>
        <w:t xml:space="preserve">Versión: </w:t>
      </w:r>
      <w:r>
        <w:t>vetia-legal-v1.4-beta-ar-2026-08-31</w:t>
      </w:r>
    </w:p>
    <w:p>
      <w:pPr>
        <w:pStyle w:val="LegalMetadata"/>
        <w:widowControl/>
      </w:pPr>
      <w:r>
        <w:rPr>
          <w:b/>
        </w:rPr>
        <w:t xml:space="preserve">Ámbito: </w:t>
      </w:r>
      <w:r>
        <w:t>República Argentina</w:t>
      </w:r>
    </w:p>
    <w:p>
      <w:pPr>
        <w:spacing w:before="200" w:after="240"/>
        <w:ind w:left="259" w:right="259"/>
        <w:shd w:fill="F4F6F9"/>
        <w:widowControl/>
        <w:pBdr>
          <w:left w:val="single" w:sz="14" w:space="10" w:color="2E74B5"/>
        </w:pBdr>
      </w:pPr>
      <w:r>
        <w:rPr>
          <w:b/>
          <w:color w:val="1F4D78"/>
        </w:rPr>
        <w:t>Esta Política forma parte de la información de privacidad de VetIAx y explica qué tecnologías pueden utilizar VetIAx, Google y sus socios, con qué finalidades y cómo aceptar, rechazar, configurar o retirar por separado la publicidad no personalizada, la medición y la publicidad personalizada.</w:t>
      </w:r>
    </w:p>
    <w:p>
      <w:pPr>
        <w:pStyle w:val="Heading1"/>
        <w:widowControl/>
      </w:pPr>
      <w:r>
        <w:t>Puntos esenciales</w:t>
      </w:r>
    </w:p>
    <w:p>
      <w:pPr>
        <w:spacing w:after="80" w:line="300" w:lineRule="auto"/>
        <w:widowControl/>
        <w:numPr>
          <w:ilvl w:val="0"/>
          <w:numId w:val="10"/>
        </w:numPr>
      </w:pPr>
      <w:r>
        <w:t>Las cookies necesarias mantienen la sesión, la seguridad y la preferencia elegida.</w:t>
      </w:r>
    </w:p>
    <w:p>
      <w:pPr>
        <w:spacing w:after="80" w:line="300" w:lineRule="auto"/>
        <w:widowControl/>
        <w:numPr>
          <w:ilvl w:val="0"/>
          <w:numId w:val="10"/>
        </w:numPr>
      </w:pPr>
      <w:r>
        <w:t>La publicidad puede mostrarse en cualquier sección de VetIAx, incluyendo consultas, perfiles y resultados.</w:t>
      </w:r>
    </w:p>
    <w:p>
      <w:pPr>
        <w:spacing w:after="80" w:line="300" w:lineRule="auto"/>
        <w:widowControl/>
        <w:numPr>
          <w:ilvl w:val="0"/>
          <w:numId w:val="10"/>
        </w:numPr>
      </w:pPr>
      <w:r>
        <w:t>Aceptar la cuenta no equivale a aceptar cookies publicitarias, y autorizar anuncios no personalizados no autoriza automáticamente anuncios personalizados.</w:t>
      </w:r>
    </w:p>
    <w:p w:rsidRDefault="00000000">
      <w:pPr>
        <w:pStyle w:val="Heading1"/>
        <w:widowControl/>
      </w:pPr>
      <w:r>
        <w:t>1. Alcance y relación con Privacidad</w:t>
      </w:r>
    </w:p>
    <w:p>
      <w:pPr>
        <w:widowControl/>
      </w:pPr>
      <w:r>
        <w:t>Esta Política se aplica al sitio y a todas las secciones de VetIAx, incluyendo inicio, registro, cuenta, consultas, perfiles, fotografías, historiales, resultados, contenidos informativos, centro de privacidad y documentos legales.</w:t>
      </w:r>
    </w:p>
    <w:p>
      <w:pPr>
        <w:widowControl/>
      </w:pPr>
      <w:r>
        <w:t>Integra la Política de Privacidad. Si existe una diferencia, debe aplicarse la interpretación que brinde mayor transparencia y control a la persona sin ocultar las tecnologías realmente utilizadas.</w:t>
      </w:r>
    </w:p>
    <w:p w:rsidRDefault="00000000">
      <w:pPr>
        <w:pStyle w:val="Heading1"/>
        <w:widowControl/>
      </w:pPr>
      <w:r>
        <w:t>2. Qué son estas tecnologías</w:t>
      </w:r>
    </w:p>
    <w:p>
      <w:pPr>
        <w:widowControl/>
      </w:pPr>
      <w:r>
        <w:t>Las cookies son pequeños archivos que un sitio o un tercero guarda o lee en el navegador. También pueden utilizarse almacenamiento local, píxeles, etiquetas, balizas web, direcciones IP y otros identificadores con funciones equivalentes.</w:t>
      </w:r>
    </w:p>
    <w:p>
      <w:pPr>
        <w:widowControl/>
      </w:pPr>
      <w:r>
        <w:t>Una tecnología es propia cuando se asocia al dominio de VetIAx y de tercero cuando opera desde dominios o servicios externos, como Google, DoubleClick, Google Syndication o socios publicitarios autorizados.</w:t>
      </w:r>
    </w:p>
    <w:p w:rsidRDefault="00000000">
      <w:pPr>
        <w:pStyle w:val="Heading1"/>
        <w:widowControl/>
      </w:pPr>
      <w:r>
        <w:t>3. Cookies estrictamente necesarias</w:t>
      </w:r>
    </w:p>
    <w:p>
      <w:pPr>
        <w:widowControl/>
      </w:pPr>
      <w:r>
        <w:t>La cookie `vetia_session` mantiene el acceso autenticado. Es HttpOnly, utiliza SameSite=Lax, se transmite de forma segura en producción y vence normalmente a los 30 días o antes cuando se cierra la sesión.</w:t>
      </w:r>
    </w:p>
    <w:p>
      <w:pPr>
        <w:widowControl/>
      </w:pPr>
      <w:r>
        <w:t>La preferencia `vetia_cookie_consent_v2` recuerda durante hasta 180 días la versión y las decisiones separadas sobre publicidad no personalizada, medición y publicidad personalizada. No contiene correo, nombre, datos de mascotas ni texto de consultas. La versión anterior deja de utilizarse al guardar una nueva elección.</w:t>
      </w:r>
    </w:p>
    <w:p>
      <w:pPr>
        <w:widowControl/>
      </w:pPr>
      <w:r>
        <w:t>Estas tecnologías permiten prestar el servicio, aplicar seguridad y recordar la elección. No pueden desactivarse desde el panel de opciones, aunque la cookie de sesión se elimina al cerrar sesión y todas pueden borrarse desde el navegador.</w:t>
      </w:r>
    </w:p>
    <w:p w:rsidRDefault="00000000">
      <w:pPr>
        <w:pStyle w:val="Heading1"/>
        <w:widowControl/>
      </w:pPr>
      <w:r>
        <w:t>4. Publicidad no personalizada</w:t>
      </w:r>
    </w:p>
    <w:p>
      <w:pPr>
        <w:widowControl/>
      </w:pPr>
      <w:r>
        <w:t>VetIAx puede utilizar Google AdSense y proveedores autorizados para mostrar publicidad no personalizada, limitar la frecuencia, detectar tráfico inválido, prevenir fraude y financiar el servicio cuando la persona autoriza esta categoría.</w:t>
      </w:r>
    </w:p>
    <w:p>
      <w:pPr>
        <w:widowControl/>
      </w:pPr>
      <w:r>
        <w:t>Las unidades publicitarias pueden aparecer en cualquier sección, incluyendo inicio, consultas, perfiles, historiales, resultados, contenidos, cuenta y páginas legales. La ubicación concreta puede variar según formato, dispositivo, disponibilidad, consentimiento y políticas del proveedor.</w:t>
      </w:r>
    </w:p>
    <w:p>
      <w:pPr>
        <w:widowControl/>
      </w:pPr>
      <w:r>
        <w:t>Los anuncios no personalizados se seleccionan principalmente mediante el contexto de la página y una ubicación aproximada, no mediante la actividad pasada de la persona. Aun así, Google informa que pueden utilizar cookies o identificadores para limitación de frecuencia, informes agregados y seguridad cuando exista autorización válida.</w:t>
      </w:r>
    </w:p>
    <w:p>
      <w:pPr>
        <w:widowControl/>
      </w:pPr>
      <w:r>
        <w:t>La implementación debe separar visualmente los anuncios de botones, formularios, navegación y acciones de cuidado para evitar clics accidentales o confusión con contenido propio.</w:t>
      </w:r>
    </w:p>
    <w:p w:rsidRDefault="00000000">
      <w:pPr>
        <w:pStyle w:val="Heading1"/>
        <w:widowControl/>
      </w:pPr>
      <w:r>
        <w:t>5. Permiso separado para publicidad personalizada</w:t>
      </w:r>
    </w:p>
    <w:p>
      <w:pPr>
        <w:widowControl/>
      </w:pPr>
      <w:r>
        <w:t>La publicidad personalizada requiere una elección afirmativa adicional a la autorización de publicidad no personalizada. Con esa autorización, Google y sus socios pueden utilizar o recibir datos publicitarios y personalizar anuncios mediante información previamente recopilada, como actividad en sitios o aplicaciones, ubicación aproximada, intereses, identificadores y configuración de la cuenta de Google.</w:t>
      </w:r>
    </w:p>
    <w:p>
      <w:pPr>
        <w:widowControl/>
      </w:pPr>
      <w:r>
        <w:t>Si se rechaza la personalización pero se acepta publicidad, VetIAx solicitará anuncios no personalizados o aplicará el tratamiento de privacidad equivalente disponible en la integración. Si también se rechaza publicidad, VetIAx no cargará voluntariamente la etiqueta de AdSense; sólo podrán producirse comportamientos limitados sin almacenamiento cuando la configuración futura de Google, la CMP y la normativa aplicable lo permitan.</w:t>
      </w:r>
    </w:p>
    <w:p>
      <w:pPr>
        <w:widowControl/>
      </w:pPr>
      <w:r>
        <w:t>VetIAx no debe agregar deliberadamente correos, contraseñas, nombres de usuario, identificadores internos, fotografías ni texto escrito en formularios a las solicitudes de anuncios.</w:t>
      </w:r>
    </w:p>
    <w:p w:rsidRDefault="00000000">
      <w:pPr>
        <w:pStyle w:val="Heading1"/>
        <w:widowControl/>
      </w:pPr>
      <w:r>
        <w:t>6. Información que puede recibir Google</w:t>
      </w:r>
    </w:p>
    <w:p>
      <w:pPr>
        <w:widowControl/>
      </w:pPr>
      <w:r>
        <w:t>Al cargar o interactuar con una unidad publicitaria, el navegador puede comunicar URL o sección visitada, dirección IP, tipo de navegador y dispositivo, idioma, ubicación aproximada, identificadores, señal de consentimiento, fecha y hora, visibilidad, impresiones, clics y datos de prevención de abuso.</w:t>
      </w:r>
    </w:p>
    <w:p>
      <w:pPr>
        <w:widowControl/>
      </w:pPr>
      <w:r>
        <w:t>La presencia de anuncios dentro de una consulta, perfil o resultado implica que la tecnología publicitaria opera en esa pantalla. VetIAx debe evitar incluir información privada en la URL o en parámetros de la etiqueta y no utilizar los campos de la consulta como parámetros publicitarios personalizados.</w:t>
      </w:r>
    </w:p>
    <w:p w:rsidRDefault="00000000">
      <w:pPr>
        <w:pStyle w:val="Heading1"/>
        <w:widowControl/>
      </w:pPr>
      <w:r>
        <w:t>7. Tres controles opcionales</w:t>
      </w:r>
    </w:p>
    <w:p>
      <w:pPr>
        <w:widowControl/>
      </w:pPr>
      <w:r>
        <w:t>En la primera visita se ofrece un aviso con opciones para aceptar todo, rechazar todo o configurar tecnologías opcionales. Rechazar debe ser tan accesible como aceptar y no impide usar las funciones esenciales de VetIAx.</w:t>
      </w:r>
    </w:p>
    <w:p>
      <w:pPr>
        <w:widowControl/>
      </w:pPr>
      <w:r>
        <w:t>Los controles previstos son: publicidad no personalizada (`ad_storage`), medición (`analytics_storage`) y publicidad personalizada (`ad_user_data` y `ad_personalization`). La publicidad personalizada requiere que la publicidad esté habilitada, pero la medición permanece como una decisión independiente.</w:t>
      </w:r>
    </w:p>
    <w:p>
      <w:pPr>
        <w:widowControl/>
      </w:pPr>
      <w:r>
        <w:t>La decisión puede modificarse en cualquier momento mediante “Configurar cookies” en el pie del sitio. Los cambios se aplican a nuevas solicitudes; para eliminar tecnologías ya almacenadas por terceros también pueden utilizarse los controles del navegador o de Google.</w:t>
      </w:r>
    </w:p>
    <w:p w:rsidRDefault="00000000">
      <w:pPr>
        <w:pStyle w:val="Heading1"/>
        <w:widowControl/>
      </w:pPr>
      <w:r>
        <w:t>8. CMP, Consent Mode y reglas regionales</w:t>
      </w:r>
    </w:p>
    <w:p>
      <w:pPr>
        <w:widowControl/>
      </w:pPr>
      <w:r>
        <w:t>VetIAx mantendrá denegados por defecto `ad_storage`, `analytics_storage`, `ad_user_data` y `ad_personalization`. Autorizar publicidad no personalizada podrá habilitar `ad_storage`; autorizar medición podrá habilitar `analytics_storage`; y autorizar publicidad personalizada podrá habilitar `ad_user_data` y `ad_personalization`, siempre junto con publicidad.</w:t>
      </w:r>
    </w:p>
    <w:p>
      <w:pPr>
        <w:widowControl/>
      </w:pPr>
      <w:r>
        <w:t>Para servir anuncios a personas del Espacio Económico Europeo, Reino Unido o Suiza, Google exige una plataforma de gestión de consentimiento certificada e integrada con el marco IAB TCF vigente. El control propio de VetIAx no sustituye esa certificación.</w:t>
      </w:r>
    </w:p>
    <w:p>
      <w:pPr>
        <w:widowControl/>
      </w:pPr>
      <w:r>
        <w:t>Si se utilizan anuncios limitados o no personalizados, siguen siendo aplicables las obligaciones de información y los controles que correspondan a cookies, almacenamiento local, medición y prevención de fraude.</w:t>
      </w:r>
    </w:p>
    <w:p w:rsidRDefault="00000000">
      <w:pPr>
        <w:pStyle w:val="Heading1"/>
        <w:widowControl/>
      </w:pPr>
      <w:r>
        <w:t>9. Proveedores y transferencias</w:t>
      </w:r>
    </w:p>
    <w:p>
      <w:pPr>
        <w:widowControl/>
      </w:pPr>
      <w:r>
        <w:t>Pueden intervenir Google, sus plataformas publicitarias y los proveedores autorizados informados por la CMP. La lista efectiva depende de la configuración de AdSense y debe mantenerse accesible desde el panel de consentimiento.</w:t>
      </w:r>
    </w:p>
    <w:p>
      <w:pPr>
        <w:widowControl/>
      </w:pPr>
      <w:r>
        <w:t>Estas operaciones pueden implicar procesamiento o transferencias internacionales. Nordenpet aplicará las garantías exigidas por la Ley 25.326 y normas complementarias y mantendrá actualizada la Política de Privacidad.</w:t>
      </w:r>
    </w:p>
    <w:p w:rsidRDefault="00000000">
      <w:pPr>
        <w:pStyle w:val="Heading1"/>
        <w:widowControl/>
      </w:pPr>
      <w:r>
        <w:t>10. Duración y renovación</w:t>
      </w:r>
    </w:p>
    <w:p>
      <w:pPr>
        <w:widowControl/>
      </w:pPr>
      <w:r>
        <w:t>La sesión de VetIAx vence normalmente a los 30 días. La preferencia propia de cookies dura hasta 180 días. Las cookies y registros de Google pueden tener plazos diferentes conforme su finalidad, configuración y políticas vigentes.</w:t>
      </w:r>
    </w:p>
    <w:p>
      <w:pPr>
        <w:widowControl/>
      </w:pPr>
      <w:r>
        <w:t>VetIAx solicitará una nueva decisión antes del vencimiento cuando exista un cambio material de proveedor, finalidad, categoría o marco regulatorio.</w:t>
      </w:r>
    </w:p>
    <w:p w:rsidRDefault="00000000">
      <w:pPr>
        <w:pStyle w:val="Heading1"/>
        <w:widowControl/>
      </w:pPr>
      <w:r>
        <w:t>11. Controles adicionales</w:t>
      </w:r>
    </w:p>
    <w:p>
      <w:pPr>
        <w:widowControl/>
      </w:pPr>
      <w:r>
        <w:t>Además del panel de VetIAx, la persona puede administrar cookies desde su navegador y revisar la personalización de anuncios en los controles de Google. Borrar cookies puede cerrar la sesión y hacer que el aviso vuelva a aparecer.</w:t>
      </w:r>
    </w:p>
    <w:p>
      <w:pPr>
        <w:widowControl/>
      </w:pPr>
      <w:r>
        <w:t>El bloqueo técnico del navegador o una extensión puede impedir que se muestren anuncios aunque la preferencia indique aceptación.</w:t>
      </w:r>
    </w:p>
    <w:p w:rsidRDefault="00000000">
      <w:pPr>
        <w:pStyle w:val="Heading1"/>
        <w:widowControl/>
      </w:pPr>
      <w:r>
        <w:t>12. Cambios y contacto</w:t>
      </w:r>
    </w:p>
    <w:p>
      <w:pPr>
        <w:widowControl/>
      </w:pPr>
      <w:r>
        <w:t>La fecha y versión vigentes se muestran al inicio. Los cambios materiales se comunicarán y requerirán una nueva decisión cuando corresponda.</w:t>
      </w:r>
    </w:p>
    <w:p>
      <w:pPr>
        <w:widowControl/>
      </w:pPr>
      <w:r>
        <w:t>Las consultas pueden enviarse a vetia.contacto@gmail.com. Nordenpet S.R.L. es responsable de mantener coherentes esta Política, la Política de Privacidad y la configuración técnica real.</w:t>
      </w:r>
    </w:p>
    <w:p>
      <w:pPr>
        <w:pStyle w:val="Heading1"/>
        <w:widowControl/>
      </w:pPr>
      <w:r>
        <w:t>Fuentes oficiales</w:t>
      </w:r>
    </w:p>
    <w:p>
      <w:pPr>
        <w:keepNext/>
        <w:widowControl/>
      </w:pPr>
      <w:r>
        <w:t>Normas, autoridades y políticas oficiales de proveedores utilizadas para esta versión.</w:t>
      </w:r>
    </w:p>
    <w:p>
      <w:pPr>
        <w:widowControl/>
        <w:numPr>
          <w:ilvl w:val="0"/>
          <w:numId w:val="10"/>
        </w:numPr>
      </w:pPr>
      <w:hyperlink r:id="rId11">
        <w:r>
          <w:rPr>
            <w:color w:val="2E74B5"/>
            <w:u w:val="single"/>
          </w:rPr>
          <w:t>Google AdSense - contenido requerido sobre cookies y publicidad</w:t>
        </w:r>
      </w:hyperlink>
    </w:p>
    <w:p>
      <w:pPr>
        <w:widowControl/>
        <w:numPr>
          <w:ilvl w:val="0"/>
          <w:numId w:val="10"/>
        </w:numPr>
      </w:pPr>
      <w:hyperlink r:id="rId12">
        <w:r>
          <w:rPr>
            <w:color w:val="2E74B5"/>
            <w:u w:val="single"/>
          </w:rPr>
          <w:t>Google AdSense - cómo utiliza cookies</w:t>
        </w:r>
      </w:hyperlink>
    </w:p>
    <w:p>
      <w:pPr>
        <w:widowControl/>
        <w:numPr>
          <w:ilvl w:val="0"/>
          <w:numId w:val="10"/>
        </w:numPr>
      </w:pPr>
      <w:hyperlink r:id="rId13">
        <w:r>
          <w:rPr>
            <w:color w:val="2E74B5"/>
            <w:u w:val="single"/>
          </w:rPr>
          <w:t>Google - uso de información de sitios asociados</w:t>
        </w:r>
      </w:hyperlink>
    </w:p>
    <w:p>
      <w:pPr>
        <w:widowControl/>
        <w:numPr>
          <w:ilvl w:val="0"/>
          <w:numId w:val="10"/>
        </w:numPr>
      </w:pPr>
      <w:hyperlink r:id="rId14">
        <w:r>
          <w:rPr>
            <w:color w:val="2E74B5"/>
            <w:u w:val="single"/>
          </w:rPr>
          <w:t>Google - Responsabilidad de Datos Empresariales</w:t>
        </w:r>
      </w:hyperlink>
    </w:p>
    <w:p>
      <w:pPr>
        <w:widowControl/>
        <w:numPr>
          <w:ilvl w:val="0"/>
          <w:numId w:val="10"/>
        </w:numPr>
      </w:pPr>
      <w:hyperlink r:id="rId15">
        <w:r>
          <w:rPr>
            <w:color w:val="2E74B5"/>
            <w:u w:val="single"/>
          </w:rPr>
          <w:t>Google - configuración de Consent Mode</w:t>
        </w:r>
      </w:hyperlink>
    </w:p>
    <w:p>
      <w:pPr>
        <w:widowControl/>
        <w:numPr>
          <w:ilvl w:val="0"/>
          <w:numId w:val="10"/>
        </w:numPr>
      </w:pPr>
      <w:hyperlink r:id="rId16">
        <w:r>
          <w:rPr>
            <w:color w:val="2E74B5"/>
            <w:u w:val="single"/>
          </w:rPr>
          <w:t>Google AdSense - requisitos de CMP certificada</w:t>
        </w:r>
      </w:hyperlink>
    </w:p>
    <w:p>
      <w:pPr>
        <w:widowControl/>
        <w:numPr>
          <w:ilvl w:val="0"/>
          <w:numId w:val="10"/>
        </w:numPr>
      </w:pPr>
      <w:hyperlink r:id="rId17">
        <w:r>
          <w:rPr>
            <w:color w:val="2E74B5"/>
            <w:u w:val="single"/>
          </w:rPr>
          <w:t>Google AdSense - políticas de ubicación de anuncios</w:t>
        </w:r>
      </w:hyperlink>
    </w:p>
    <w:p>
      <w:pPr>
        <w:widowControl/>
        <w:numPr>
          <w:ilvl w:val="0"/>
          <w:numId w:val="10"/>
        </w:numPr>
      </w:pPr>
      <w:hyperlink r:id="rId18">
        <w:r>
          <w:rPr>
            <w:color w:val="2E74B5"/>
            <w:u w:val="single"/>
          </w:rPr>
          <w:t>Google AdSense - anuncios personalizados y no personalizados</w:t>
        </w:r>
      </w:hyperlink>
    </w:p>
    <w:p>
      <w:pPr>
        <w:widowControl/>
        <w:numPr>
          <w:ilvl w:val="0"/>
          <w:numId w:val="10"/>
        </w:numPr>
      </w:pPr>
      <w:hyperlink r:id="rId19">
        <w:r>
          <w:rPr>
            <w:color w:val="2E74B5"/>
            <w:u w:val="single"/>
          </w:rPr>
          <w:t>Google AdSense - configuración de personalización en etiquetas publicitarias</w:t>
        </w:r>
      </w:hyperlink>
    </w:p>
    <w:p>
      <w:pPr>
        <w:widowControl/>
        <w:numPr>
          <w:ilvl w:val="0"/>
          <w:numId w:val="10"/>
        </w:numPr>
      </w:pPr>
      <w:hyperlink r:id="rId20">
        <w:r>
          <w:rPr>
            <w:color w:val="2E74B5"/>
            <w:u w:val="single"/>
          </w:rPr>
          <w:t>Ley 25.326 de Protección de los Datos Personales - texto actualizado</w:t>
        </w:r>
      </w:hyperlink>
    </w:p>
    <w:p>
      <w:pPr>
        <w:widowControl/>
        <w:numPr>
          <w:ilvl w:val="0"/>
          <w:numId w:val="10"/>
        </w:numPr>
      </w:pPr>
      <w:hyperlink r:id="rId21">
        <w:r>
          <w:rPr>
            <w:color w:val="2E74B5"/>
            <w:u w:val="single"/>
          </w:rPr>
          <w:t>AAIP - Transferencias internacionales de datos personales</w:t>
        </w:r>
      </w:hyperlink>
    </w:p>
    <w:p>
      <w:pPr>
        <w:spacing w:before="280"/>
        <w:ind w:left="259" w:right="259"/>
        <w:widowControl/>
        <w:shd w:fill="F4F6F9"/>
      </w:pPr>
      <w:r>
        <w:rPr>
          <w:b/>
          <w:color w:val="1F4D78"/>
        </w:rPr>
        <w:t>Contacto legal y de privacidad</w:t>
        <w:br/>
      </w:r>
      <w:r>
        <w:t>Nordenpet S.R.L. · CUIT 33-71609455-9</w:t>
        <w:br/>
        <w:t>Manuel Belzu 4277, Vicente López (B1605 / 1605), Provincia de Buenos Aires, Argentina</w:t>
        <w:br/>
      </w:r>
      <w:hyperlink r:id="rId22">
        <w:r>
          <w:rPr>
            <w:color w:val="2E74B5"/>
            <w:u w:val="single"/>
          </w:rPr>
          <w:t>vetia.contacto@gmail.com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LegalFooter"/>
      <w:jc w:val="center"/>
    </w:pPr>
    <w:r>
      <w:t xml:space="preserve">Nordenpet S.R.L.  ·  Términos, Privacidad y Cookies Argentina · Beta v1.4  ·  Página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LegalFooter"/>
      <w:jc w:val="right"/>
    </w:pPr>
    <w:r>
      <w:rPr>
        <w:b/>
        <w:color w:val="1F4D78"/>
      </w:rPr>
      <w:t>VetIAx  ·  Política de Cookies y Tecnologías Publicitarias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Arial" w:hAnsi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4304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657186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Eyebrow">
    <w:name w:val="Legal Eyebrow"/>
    <w:pPr>
      <w:spacing w:after="80"/>
    </w:pPr>
    <w:rPr>
      <w:rFonts w:ascii="Calibri" w:hAnsi="Calibri"/>
      <w:b/>
      <w:color w:val="2E74B5"/>
      <w:sz w:val="18"/>
    </w:rPr>
  </w:style>
  <w:style w:type="paragraph" w:customStyle="1" w:styleId="LegalMetadata">
    <w:name w:val="Legal Metadata"/>
    <w:pPr>
      <w:spacing w:after="80"/>
    </w:pPr>
    <w:rPr>
      <w:rFonts w:ascii="Calibri" w:hAnsi="Calibri"/>
      <w:b w:val="0"/>
      <w:color w:val="657186"/>
      <w:sz w:val="18"/>
    </w:rPr>
  </w:style>
  <w:style w:type="paragraph" w:customStyle="1" w:styleId="LegalFooter">
    <w:name w:val="Legal Footer"/>
    <w:pPr>
      <w:spacing w:after="80"/>
    </w:pPr>
    <w:rPr>
      <w:rFonts w:ascii="Calibri" w:hAnsi="Calibri"/>
      <w:b w:val="0"/>
      <w:color w:val="65718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support.google.com/adsense/answer/1348695" TargetMode="External"/><Relationship Id="rId12" Type="http://schemas.openxmlformats.org/officeDocument/2006/relationships/hyperlink" Target="https://support.google.com/adsense/answer/7549925" TargetMode="External"/><Relationship Id="rId13" Type="http://schemas.openxmlformats.org/officeDocument/2006/relationships/hyperlink" Target="https://policies.google.com/technologies/partner-sites" TargetMode="External"/><Relationship Id="rId14" Type="http://schemas.openxmlformats.org/officeDocument/2006/relationships/hyperlink" Target="https://business.safety.google/privacy/" TargetMode="External"/><Relationship Id="rId15" Type="http://schemas.openxmlformats.org/officeDocument/2006/relationships/hyperlink" Target="https://developers.google.com/tag-platform/security/guides/consent" TargetMode="External"/><Relationship Id="rId16" Type="http://schemas.openxmlformats.org/officeDocument/2006/relationships/hyperlink" Target="https://support.google.com/adsense/answer/13554020" TargetMode="External"/><Relationship Id="rId17" Type="http://schemas.openxmlformats.org/officeDocument/2006/relationships/hyperlink" Target="https://support.google.com/adsense/answer/1346295" TargetMode="External"/><Relationship Id="rId18" Type="http://schemas.openxmlformats.org/officeDocument/2006/relationships/hyperlink" Target="https://support.google.com/adsense/answer/9007336" TargetMode="External"/><Relationship Id="rId19" Type="http://schemas.openxmlformats.org/officeDocument/2006/relationships/hyperlink" Target="https://support.google.com/adsense/answer/7670312" TargetMode="External"/><Relationship Id="rId20" Type="http://schemas.openxmlformats.org/officeDocument/2006/relationships/hyperlink" Target="https://www.argentina.gob.ar/normativa/nacional/64790/actualizacion" TargetMode="External"/><Relationship Id="rId21" Type="http://schemas.openxmlformats.org/officeDocument/2006/relationships/hyperlink" Target="https://www.argentina.gob.ar/transferencias-internacionales" TargetMode="External"/><Relationship Id="rId22" Type="http://schemas.openxmlformats.org/officeDocument/2006/relationships/hyperlink" Target="mailto:vetia.contact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Cookies y Tecnologías Publicitarias</dc:title>
  <dc:subject>Documento legal de VetIAx — beta exclusiva para Argentina</dc:subject>
  <dc:creator>Nordenpet S.R.L.</dc:creator>
  <cp:keywords/>
  <dc:description>Documento editable generado desde la fuente jurídica unificada de VetIAx.</dc:description>
  <cp:lastModifiedBy/>
  <cp:revision>1</cp:revision>
  <dcterms:created xsi:type="dcterms:W3CDTF">2013-12-23T23:15:00Z</dcterms:created>
  <dcterms:modified xsi:type="dcterms:W3CDTF">2013-12-23T23:15:00Z</dcterms:modified>
  <cp:category>Legal</cp:category>
</cp:coreProperties>
</file>